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15" w:rsidRPr="00E52AF9" w:rsidRDefault="005D170B" w:rsidP="00D408EE">
      <w:pPr>
        <w:spacing w:after="60"/>
        <w:rPr>
          <w:sz w:val="18"/>
          <w:szCs w:val="18"/>
        </w:rPr>
      </w:pPr>
      <w:r w:rsidRPr="00E52AF9">
        <w:rPr>
          <w:sz w:val="18"/>
          <w:szCs w:val="18"/>
        </w:rPr>
        <w:t>Olaf Müller</w:t>
      </w:r>
    </w:p>
    <w:p w:rsidR="005D170B" w:rsidRPr="00E52AF9" w:rsidRDefault="005D170B" w:rsidP="00D408EE">
      <w:pPr>
        <w:spacing w:after="60"/>
        <w:rPr>
          <w:sz w:val="18"/>
          <w:szCs w:val="18"/>
        </w:rPr>
      </w:pPr>
      <w:r w:rsidRPr="00E52AF9">
        <w:rPr>
          <w:sz w:val="18"/>
          <w:szCs w:val="18"/>
        </w:rPr>
        <w:t>Westfälische Wilhelms-Universität</w:t>
      </w:r>
      <w:r w:rsidR="00D408EE" w:rsidRPr="00E52AF9">
        <w:rPr>
          <w:sz w:val="18"/>
          <w:szCs w:val="18"/>
        </w:rPr>
        <w:t xml:space="preserve">; </w:t>
      </w:r>
      <w:r w:rsidRPr="00E52AF9">
        <w:rPr>
          <w:sz w:val="18"/>
          <w:szCs w:val="18"/>
        </w:rPr>
        <w:t>Exzellenzcluster „Religion und Politik“ / Institut für Soziologie</w:t>
      </w:r>
    </w:p>
    <w:p w:rsidR="005D170B" w:rsidRDefault="005D170B" w:rsidP="00D408EE">
      <w:pPr>
        <w:spacing w:after="60"/>
      </w:pPr>
    </w:p>
    <w:p w:rsidR="00D408EE" w:rsidRDefault="005D170B" w:rsidP="00D408EE">
      <w:pPr>
        <w:spacing w:after="60"/>
        <w:jc w:val="center"/>
        <w:rPr>
          <w:b/>
          <w:sz w:val="28"/>
          <w:szCs w:val="28"/>
        </w:rPr>
      </w:pPr>
      <w:r w:rsidRPr="005D170B">
        <w:rPr>
          <w:b/>
          <w:sz w:val="28"/>
          <w:szCs w:val="28"/>
        </w:rPr>
        <w:t xml:space="preserve">Handout zum Vortrag </w:t>
      </w:r>
    </w:p>
    <w:p w:rsidR="005D170B" w:rsidRPr="005D170B" w:rsidRDefault="005D170B" w:rsidP="00D408EE">
      <w:pPr>
        <w:spacing w:after="60"/>
        <w:jc w:val="center"/>
        <w:rPr>
          <w:b/>
          <w:sz w:val="28"/>
          <w:szCs w:val="28"/>
        </w:rPr>
      </w:pPr>
      <w:r w:rsidRPr="005D170B">
        <w:rPr>
          <w:b/>
          <w:sz w:val="28"/>
          <w:szCs w:val="28"/>
        </w:rPr>
        <w:t xml:space="preserve">„Quo </w:t>
      </w:r>
      <w:proofErr w:type="spellStart"/>
      <w:r w:rsidRPr="005D170B">
        <w:rPr>
          <w:b/>
          <w:sz w:val="28"/>
          <w:szCs w:val="28"/>
        </w:rPr>
        <w:t>vadis</w:t>
      </w:r>
      <w:proofErr w:type="spellEnd"/>
      <w:r w:rsidRPr="005D170B">
        <w:rPr>
          <w:b/>
          <w:sz w:val="28"/>
          <w:szCs w:val="28"/>
        </w:rPr>
        <w:t>, Kirche? Einige religionssoziologische Befunde und Empfehlungen“</w:t>
      </w:r>
    </w:p>
    <w:p w:rsidR="00D408EE" w:rsidRDefault="00D408EE" w:rsidP="00D408EE">
      <w:pPr>
        <w:spacing w:after="60"/>
        <w:jc w:val="center"/>
        <w:rPr>
          <w:i/>
          <w:iCs/>
          <w:lang w:val="en-GB"/>
        </w:rPr>
      </w:pPr>
    </w:p>
    <w:p w:rsidR="005D170B" w:rsidRDefault="005D170B" w:rsidP="00D408EE">
      <w:pPr>
        <w:spacing w:after="60"/>
        <w:jc w:val="center"/>
        <w:rPr>
          <w:i/>
          <w:iCs/>
          <w:lang w:val="en-GB"/>
        </w:rPr>
      </w:pPr>
      <w:proofErr w:type="spellStart"/>
      <w:proofErr w:type="gramStart"/>
      <w:r w:rsidRPr="005D170B">
        <w:rPr>
          <w:i/>
          <w:iCs/>
          <w:lang w:val="en-GB"/>
        </w:rPr>
        <w:t>Studienkonferenz</w:t>
      </w:r>
      <w:proofErr w:type="spellEnd"/>
      <w:r w:rsidRPr="005D170B">
        <w:rPr>
          <w:i/>
          <w:iCs/>
          <w:lang w:val="en-GB"/>
        </w:rPr>
        <w:t xml:space="preserve"> “Quo </w:t>
      </w:r>
      <w:proofErr w:type="spellStart"/>
      <w:r w:rsidRPr="005D170B">
        <w:rPr>
          <w:i/>
          <w:iCs/>
          <w:lang w:val="en-GB"/>
        </w:rPr>
        <w:t>vadis</w:t>
      </w:r>
      <w:proofErr w:type="spellEnd"/>
      <w:r w:rsidRPr="005D170B">
        <w:rPr>
          <w:i/>
          <w:iCs/>
          <w:lang w:val="en-GB"/>
        </w:rPr>
        <w:t xml:space="preserve"> </w:t>
      </w:r>
      <w:proofErr w:type="spellStart"/>
      <w:r w:rsidRPr="005D170B">
        <w:rPr>
          <w:i/>
          <w:iCs/>
          <w:lang w:val="en-GB"/>
        </w:rPr>
        <w:t>Kirche</w:t>
      </w:r>
      <w:proofErr w:type="spellEnd"/>
      <w:r w:rsidRPr="005D170B">
        <w:rPr>
          <w:i/>
          <w:iCs/>
          <w:lang w:val="en-GB"/>
        </w:rPr>
        <w:t>?</w:t>
      </w:r>
      <w:proofErr w:type="gramEnd"/>
      <w:r w:rsidRPr="005D170B">
        <w:rPr>
          <w:i/>
          <w:iCs/>
          <w:lang w:val="en-GB"/>
        </w:rPr>
        <w:t xml:space="preserve"> </w:t>
      </w:r>
      <w:proofErr w:type="gramStart"/>
      <w:r w:rsidRPr="005D170B">
        <w:rPr>
          <w:i/>
          <w:iCs/>
          <w:lang w:val="en-GB"/>
        </w:rPr>
        <w:t xml:space="preserve">Was </w:t>
      </w:r>
      <w:proofErr w:type="spellStart"/>
      <w:r w:rsidRPr="005D170B">
        <w:rPr>
          <w:i/>
          <w:iCs/>
          <w:lang w:val="en-GB"/>
        </w:rPr>
        <w:t>ist</w:t>
      </w:r>
      <w:proofErr w:type="spellEnd"/>
      <w:r w:rsidRPr="005D170B">
        <w:rPr>
          <w:i/>
          <w:iCs/>
          <w:lang w:val="en-GB"/>
        </w:rPr>
        <w:t xml:space="preserve"> </w:t>
      </w:r>
      <w:proofErr w:type="spellStart"/>
      <w:r w:rsidRPr="005D170B">
        <w:rPr>
          <w:i/>
          <w:iCs/>
          <w:lang w:val="en-GB"/>
        </w:rPr>
        <w:t>zu</w:t>
      </w:r>
      <w:proofErr w:type="spellEnd"/>
      <w:r w:rsidRPr="005D170B">
        <w:rPr>
          <w:i/>
          <w:iCs/>
          <w:lang w:val="en-GB"/>
        </w:rPr>
        <w:t xml:space="preserve"> </w:t>
      </w:r>
      <w:proofErr w:type="spellStart"/>
      <w:r w:rsidRPr="005D170B">
        <w:rPr>
          <w:i/>
          <w:iCs/>
          <w:lang w:val="en-GB"/>
        </w:rPr>
        <w:t>tun</w:t>
      </w:r>
      <w:proofErr w:type="spellEnd"/>
      <w:r w:rsidRPr="005D170B">
        <w:rPr>
          <w:i/>
          <w:iCs/>
          <w:lang w:val="en-GB"/>
        </w:rPr>
        <w:t>?” des Forums “</w:t>
      </w:r>
      <w:proofErr w:type="spellStart"/>
      <w:r w:rsidRPr="005D170B">
        <w:rPr>
          <w:i/>
          <w:iCs/>
          <w:lang w:val="en-GB"/>
        </w:rPr>
        <w:t>Kirche</w:t>
      </w:r>
      <w:proofErr w:type="spellEnd"/>
      <w:r w:rsidRPr="005D170B">
        <w:rPr>
          <w:i/>
          <w:iCs/>
          <w:lang w:val="en-GB"/>
        </w:rPr>
        <w:t xml:space="preserve"> und </w:t>
      </w:r>
      <w:proofErr w:type="spellStart"/>
      <w:r w:rsidRPr="005D170B">
        <w:rPr>
          <w:i/>
          <w:iCs/>
          <w:lang w:val="en-GB"/>
        </w:rPr>
        <w:t>Gesellschaft</w:t>
      </w:r>
      <w:proofErr w:type="spellEnd"/>
      <w:r w:rsidRPr="005D170B">
        <w:rPr>
          <w:i/>
          <w:iCs/>
          <w:lang w:val="en-GB"/>
        </w:rPr>
        <w:t xml:space="preserve">”, </w:t>
      </w:r>
      <w:proofErr w:type="spellStart"/>
      <w:r w:rsidRPr="005D170B">
        <w:rPr>
          <w:i/>
          <w:iCs/>
          <w:lang w:val="en-GB"/>
        </w:rPr>
        <w:t>Evangelische</w:t>
      </w:r>
      <w:proofErr w:type="spellEnd"/>
      <w:r w:rsidRPr="005D170B">
        <w:rPr>
          <w:i/>
          <w:iCs/>
          <w:lang w:val="en-GB"/>
        </w:rPr>
        <w:t xml:space="preserve"> </w:t>
      </w:r>
      <w:proofErr w:type="spellStart"/>
      <w:r w:rsidRPr="005D170B">
        <w:rPr>
          <w:i/>
          <w:iCs/>
          <w:lang w:val="en-GB"/>
        </w:rPr>
        <w:t>Kirche</w:t>
      </w:r>
      <w:proofErr w:type="spellEnd"/>
      <w:r w:rsidRPr="005D170B">
        <w:rPr>
          <w:i/>
          <w:iCs/>
          <w:lang w:val="en-GB"/>
        </w:rPr>
        <w:t xml:space="preserve"> von </w:t>
      </w:r>
      <w:proofErr w:type="spellStart"/>
      <w:r w:rsidRPr="005D170B">
        <w:rPr>
          <w:i/>
          <w:iCs/>
          <w:lang w:val="en-GB"/>
        </w:rPr>
        <w:t>Westfalen</w:t>
      </w:r>
      <w:proofErr w:type="spellEnd"/>
      <w:r w:rsidRPr="005D170B">
        <w:rPr>
          <w:i/>
          <w:iCs/>
          <w:lang w:val="en-GB"/>
        </w:rPr>
        <w:t>, Dortmund, 1.</w:t>
      </w:r>
      <w:proofErr w:type="gramEnd"/>
      <w:r w:rsidRPr="005D170B">
        <w:rPr>
          <w:i/>
          <w:iCs/>
          <w:lang w:val="en-GB"/>
        </w:rPr>
        <w:t xml:space="preserve"> </w:t>
      </w:r>
      <w:proofErr w:type="spellStart"/>
      <w:r w:rsidRPr="005D170B">
        <w:rPr>
          <w:i/>
          <w:iCs/>
          <w:lang w:val="en-GB"/>
        </w:rPr>
        <w:t>Februar</w:t>
      </w:r>
      <w:proofErr w:type="spellEnd"/>
      <w:r w:rsidRPr="005D170B">
        <w:rPr>
          <w:i/>
          <w:iCs/>
          <w:lang w:val="en-GB"/>
        </w:rPr>
        <w:t xml:space="preserve"> 2016</w:t>
      </w:r>
    </w:p>
    <w:p w:rsidR="00D408EE" w:rsidRDefault="00D408EE" w:rsidP="00D408EE">
      <w:pPr>
        <w:spacing w:after="60"/>
        <w:rPr>
          <w:b/>
          <w:iCs/>
          <w:lang w:val="en-GB"/>
        </w:rPr>
      </w:pPr>
    </w:p>
    <w:p w:rsidR="00D408EE" w:rsidRDefault="00D408EE" w:rsidP="00D408EE">
      <w:pPr>
        <w:spacing w:after="60"/>
        <w:rPr>
          <w:b/>
          <w:iCs/>
          <w:lang w:val="en-GB"/>
        </w:rPr>
      </w:pPr>
    </w:p>
    <w:p w:rsidR="005D170B" w:rsidRDefault="00D408EE" w:rsidP="00D408EE">
      <w:pPr>
        <w:spacing w:after="60"/>
        <w:rPr>
          <w:b/>
          <w:iCs/>
          <w:lang w:val="en-GB"/>
        </w:rPr>
      </w:pPr>
      <w:r>
        <w:rPr>
          <w:b/>
          <w:iCs/>
          <w:lang w:val="en-GB"/>
        </w:rPr>
        <w:t>I</w:t>
      </w:r>
      <w:r w:rsidR="005D170B" w:rsidRPr="005D170B">
        <w:rPr>
          <w:b/>
          <w:iCs/>
          <w:lang w:val="en-GB"/>
        </w:rPr>
        <w:t xml:space="preserve">. </w:t>
      </w:r>
      <w:proofErr w:type="spellStart"/>
      <w:r w:rsidR="005D170B">
        <w:rPr>
          <w:b/>
          <w:iCs/>
          <w:lang w:val="en-GB"/>
        </w:rPr>
        <w:t>Herausforderung</w:t>
      </w:r>
      <w:proofErr w:type="spellEnd"/>
      <w:r w:rsidR="005D170B">
        <w:rPr>
          <w:b/>
          <w:iCs/>
          <w:lang w:val="en-GB"/>
        </w:rPr>
        <w:t xml:space="preserve">: </w:t>
      </w:r>
      <w:proofErr w:type="spellStart"/>
      <w:r w:rsidR="005D170B" w:rsidRPr="005D170B">
        <w:rPr>
          <w:b/>
          <w:iCs/>
          <w:lang w:val="en-GB"/>
        </w:rPr>
        <w:t>Funktionale</w:t>
      </w:r>
      <w:proofErr w:type="spellEnd"/>
      <w:r w:rsidR="005D170B" w:rsidRPr="005D170B">
        <w:rPr>
          <w:b/>
          <w:iCs/>
          <w:lang w:val="en-GB"/>
        </w:rPr>
        <w:t xml:space="preserve"> </w:t>
      </w:r>
      <w:proofErr w:type="spellStart"/>
      <w:r w:rsidR="005D170B" w:rsidRPr="005D170B">
        <w:rPr>
          <w:b/>
          <w:iCs/>
          <w:lang w:val="en-GB"/>
        </w:rPr>
        <w:t>Differenzierung</w:t>
      </w:r>
      <w:proofErr w:type="spellEnd"/>
    </w:p>
    <w:p w:rsidR="00000000" w:rsidRPr="005D170B" w:rsidRDefault="00EF57E6" w:rsidP="00D408EE">
      <w:pPr>
        <w:numPr>
          <w:ilvl w:val="0"/>
          <w:numId w:val="2"/>
        </w:numPr>
        <w:spacing w:after="60"/>
        <w:rPr>
          <w:iCs/>
        </w:rPr>
      </w:pPr>
      <w:r w:rsidRPr="005D170B">
        <w:rPr>
          <w:iCs/>
        </w:rPr>
        <w:t xml:space="preserve">funktionale Differenzierung als allgemeiner Trend moderner Gesellschaften führt zur „Emanzipierung“ gesellschaftlicher Teilbereiche (Politik, Wirtschaft, Recht etc.) von der </w:t>
      </w:r>
      <w:r w:rsidRPr="005D170B">
        <w:rPr>
          <w:iCs/>
        </w:rPr>
        <w:t xml:space="preserve">Religion </w:t>
      </w:r>
    </w:p>
    <w:p w:rsidR="00000000" w:rsidRPr="005D170B" w:rsidRDefault="00EF57E6" w:rsidP="00D408EE">
      <w:pPr>
        <w:numPr>
          <w:ilvl w:val="0"/>
          <w:numId w:val="2"/>
        </w:numPr>
        <w:spacing w:after="60"/>
        <w:rPr>
          <w:iCs/>
        </w:rPr>
      </w:pPr>
      <w:r w:rsidRPr="005D170B">
        <w:rPr>
          <w:iCs/>
        </w:rPr>
        <w:t xml:space="preserve">Kirchen konkurrieren in vielen traditionellen Aufgabengebieten bzw. Einflusssphären mit „weltlichen“ Wettbewerbern (Bsp. Fürsorge; Erziehung; Lebens-/Ehe-/Familienberatung) </w:t>
      </w:r>
    </w:p>
    <w:p w:rsidR="00000000" w:rsidRDefault="00EF57E6" w:rsidP="00D408EE">
      <w:pPr>
        <w:numPr>
          <w:ilvl w:val="0"/>
          <w:numId w:val="2"/>
        </w:numPr>
        <w:spacing w:after="60"/>
        <w:rPr>
          <w:iCs/>
        </w:rPr>
      </w:pPr>
      <w:r w:rsidRPr="005D170B">
        <w:rPr>
          <w:iCs/>
        </w:rPr>
        <w:t xml:space="preserve">Entkopplung religiöser Identitäten von außerreligiösen Aspekten schwächt Religion als übergreifenden Identitätsmarker  </w:t>
      </w:r>
    </w:p>
    <w:p w:rsidR="005D170B" w:rsidRPr="00D408EE" w:rsidRDefault="005D170B" w:rsidP="00D408EE">
      <w:pPr>
        <w:spacing w:after="60"/>
        <w:ind w:left="360"/>
        <w:rPr>
          <w:b/>
          <w:i/>
          <w:iCs/>
        </w:rPr>
      </w:pPr>
      <w:r w:rsidRPr="00D408EE">
        <w:rPr>
          <w:b/>
          <w:i/>
          <w:iCs/>
        </w:rPr>
        <w:t>Empfehlung: Verbreiterung der Kontaktflächen zur Gesellschaft</w:t>
      </w:r>
    </w:p>
    <w:p w:rsidR="00000000" w:rsidRPr="005D170B" w:rsidRDefault="00EF57E6" w:rsidP="00D408EE">
      <w:pPr>
        <w:numPr>
          <w:ilvl w:val="0"/>
          <w:numId w:val="3"/>
        </w:numPr>
        <w:spacing w:after="60"/>
        <w:rPr>
          <w:iCs/>
        </w:rPr>
      </w:pPr>
      <w:r w:rsidRPr="005D170B">
        <w:rPr>
          <w:iCs/>
        </w:rPr>
        <w:t xml:space="preserve">um wieder </w:t>
      </w:r>
      <w:r w:rsidRPr="005D170B">
        <w:rPr>
          <w:iCs/>
        </w:rPr>
        <w:t>stärker in die Gesellschaft hineinzuwirken, sollten Kirchen „weltliche“ Arbeitsfelder stärken, in denen ihr Kompetenzen zugesprochen</w:t>
      </w:r>
      <w:r w:rsidR="00E52AF9">
        <w:rPr>
          <w:iCs/>
        </w:rPr>
        <w:t xml:space="preserve"> werden</w:t>
      </w:r>
      <w:bookmarkStart w:id="0" w:name="_GoBack"/>
      <w:bookmarkEnd w:id="0"/>
      <w:r w:rsidRPr="005D170B">
        <w:rPr>
          <w:iCs/>
        </w:rPr>
        <w:t xml:space="preserve"> und ihr Engagement begrüßt wird </w:t>
      </w:r>
    </w:p>
    <w:p w:rsidR="00000000" w:rsidRPr="005D170B" w:rsidRDefault="00EF57E6" w:rsidP="00D408EE">
      <w:pPr>
        <w:numPr>
          <w:ilvl w:val="1"/>
          <w:numId w:val="3"/>
        </w:numPr>
        <w:spacing w:after="60"/>
        <w:rPr>
          <w:iCs/>
        </w:rPr>
      </w:pPr>
      <w:r w:rsidRPr="005D170B">
        <w:rPr>
          <w:iCs/>
        </w:rPr>
        <w:t>sozialer Bereich; Alltag</w:t>
      </w:r>
      <w:r w:rsidRPr="005D170B">
        <w:rPr>
          <w:iCs/>
        </w:rPr>
        <w:t xml:space="preserve">shilfe; interreligiöser Dialog usw. </w:t>
      </w:r>
    </w:p>
    <w:p w:rsidR="00000000" w:rsidRPr="005D170B" w:rsidRDefault="00EF57E6" w:rsidP="00D408EE">
      <w:pPr>
        <w:numPr>
          <w:ilvl w:val="0"/>
          <w:numId w:val="3"/>
        </w:numPr>
        <w:spacing w:after="60"/>
        <w:rPr>
          <w:iCs/>
        </w:rPr>
      </w:pPr>
      <w:r w:rsidRPr="005D170B">
        <w:rPr>
          <w:iCs/>
        </w:rPr>
        <w:t>neben dem „Hinausgehen“ in die säkulare Gesellschaft sollten auch (gezielt kontextbezogen und mit Blick auf die lokalen Gegebenheiten Schwerpunkte setzen</w:t>
      </w:r>
      <w:r w:rsidRPr="005D170B">
        <w:rPr>
          <w:iCs/>
        </w:rPr>
        <w:t>d) Möglichkeiten der Begegnung in den Räumen der Kirche eröffnet und „Eintrittsbarrieren“ gesenkt werden</w:t>
      </w:r>
    </w:p>
    <w:p w:rsidR="00000000" w:rsidRPr="005D170B" w:rsidRDefault="00EF57E6" w:rsidP="00D408EE">
      <w:pPr>
        <w:numPr>
          <w:ilvl w:val="1"/>
          <w:numId w:val="3"/>
        </w:numPr>
        <w:spacing w:after="60"/>
        <w:rPr>
          <w:iCs/>
        </w:rPr>
      </w:pPr>
      <w:r w:rsidRPr="005D170B">
        <w:rPr>
          <w:iCs/>
        </w:rPr>
        <w:t>Kirchen als Kulturraum</w:t>
      </w:r>
    </w:p>
    <w:p w:rsidR="00000000" w:rsidRPr="005D170B" w:rsidRDefault="00EF57E6" w:rsidP="00D408EE">
      <w:pPr>
        <w:numPr>
          <w:ilvl w:val="1"/>
          <w:numId w:val="3"/>
        </w:numPr>
        <w:spacing w:after="60"/>
        <w:rPr>
          <w:iCs/>
        </w:rPr>
      </w:pPr>
      <w:r w:rsidRPr="005D170B">
        <w:rPr>
          <w:iCs/>
        </w:rPr>
        <w:t>Gemeindehaus als multifunktionales Begegnungszentrum</w:t>
      </w:r>
    </w:p>
    <w:p w:rsidR="00D408EE" w:rsidRPr="00D408EE" w:rsidRDefault="00D408EE" w:rsidP="00D408EE">
      <w:pPr>
        <w:spacing w:after="60"/>
        <w:ind w:left="360"/>
        <w:rPr>
          <w:i/>
          <w:iCs/>
        </w:rPr>
      </w:pPr>
      <w:r w:rsidRPr="00D408EE">
        <w:rPr>
          <w:b/>
          <w:bCs/>
          <w:i/>
          <w:iCs/>
          <w:u w:val="single"/>
        </w:rPr>
        <w:t>allerdings:</w:t>
      </w:r>
      <w:r w:rsidRPr="00D408EE">
        <w:rPr>
          <w:i/>
          <w:iCs/>
        </w:rPr>
        <w:t xml:space="preserve"> </w:t>
      </w:r>
    </w:p>
    <w:p w:rsidR="00000000" w:rsidRPr="00D408EE" w:rsidRDefault="00EF57E6" w:rsidP="00D408EE">
      <w:pPr>
        <w:numPr>
          <w:ilvl w:val="0"/>
          <w:numId w:val="4"/>
        </w:numPr>
        <w:spacing w:after="60"/>
        <w:rPr>
          <w:iCs/>
        </w:rPr>
      </w:pPr>
      <w:r w:rsidRPr="00D408EE">
        <w:rPr>
          <w:iCs/>
        </w:rPr>
        <w:t xml:space="preserve">Eindruck der Vereinnahmung und Bevormundung vermeiden (direkte Einmischung in Teilbereiche wie die Politik und besonders in Fragen individueller Lebensführung ist weitgehend unerwünscht)   </w:t>
      </w:r>
    </w:p>
    <w:p w:rsidR="005D170B" w:rsidRPr="00D408EE" w:rsidRDefault="00EF57E6" w:rsidP="00D408EE">
      <w:pPr>
        <w:numPr>
          <w:ilvl w:val="0"/>
          <w:numId w:val="4"/>
        </w:numPr>
        <w:spacing w:after="60"/>
        <w:rPr>
          <w:iCs/>
          <w:lang w:val="en-GB"/>
        </w:rPr>
      </w:pPr>
      <w:r w:rsidRPr="00D408EE">
        <w:rPr>
          <w:iCs/>
        </w:rPr>
        <w:t xml:space="preserve">bei aller Öffnung nach </w:t>
      </w:r>
      <w:r w:rsidR="00D408EE">
        <w:rPr>
          <w:iCs/>
        </w:rPr>
        <w:t>a</w:t>
      </w:r>
      <w:r w:rsidRPr="00D408EE">
        <w:rPr>
          <w:iCs/>
        </w:rPr>
        <w:t xml:space="preserve">ußen unter Bedingungen begrenzter Ressourcen nicht zu vernachlässigen: Stärkung des kirchlichen „Bodenpersonals“ und der aktiven, ehrenamtlich tätigen Kerngemeinde    </w:t>
      </w:r>
    </w:p>
    <w:p w:rsidR="00D408EE" w:rsidRDefault="00D408EE" w:rsidP="00D408EE">
      <w:pPr>
        <w:spacing w:after="60"/>
        <w:rPr>
          <w:b/>
          <w:iCs/>
          <w:lang w:val="en-GB"/>
        </w:rPr>
      </w:pPr>
    </w:p>
    <w:p w:rsidR="005D170B" w:rsidRPr="005D170B" w:rsidRDefault="00D408EE" w:rsidP="00D408EE">
      <w:pPr>
        <w:spacing w:after="60"/>
        <w:rPr>
          <w:b/>
          <w:iCs/>
          <w:lang w:val="en-GB"/>
        </w:rPr>
      </w:pPr>
      <w:r>
        <w:rPr>
          <w:b/>
          <w:iCs/>
          <w:lang w:val="en-GB"/>
        </w:rPr>
        <w:t>II</w:t>
      </w:r>
      <w:r w:rsidR="005D170B" w:rsidRPr="005D170B">
        <w:rPr>
          <w:b/>
          <w:iCs/>
          <w:lang w:val="en-GB"/>
        </w:rPr>
        <w:t xml:space="preserve">. </w:t>
      </w:r>
      <w:proofErr w:type="spellStart"/>
      <w:r w:rsidR="005D170B" w:rsidRPr="005D170B">
        <w:rPr>
          <w:b/>
          <w:iCs/>
          <w:lang w:val="en-GB"/>
        </w:rPr>
        <w:t>Herausforderung</w:t>
      </w:r>
      <w:proofErr w:type="spellEnd"/>
      <w:r w:rsidR="005D170B" w:rsidRPr="005D170B">
        <w:rPr>
          <w:b/>
          <w:iCs/>
          <w:lang w:val="en-GB"/>
        </w:rPr>
        <w:t xml:space="preserve">: </w:t>
      </w:r>
      <w:proofErr w:type="spellStart"/>
      <w:r w:rsidR="005D170B" w:rsidRPr="005D170B">
        <w:rPr>
          <w:b/>
          <w:iCs/>
          <w:lang w:val="en-GB"/>
        </w:rPr>
        <w:t>Individualisierung</w:t>
      </w:r>
      <w:proofErr w:type="spellEnd"/>
      <w:r w:rsidR="005D170B" w:rsidRPr="005D170B">
        <w:rPr>
          <w:b/>
          <w:iCs/>
          <w:lang w:val="en-GB"/>
        </w:rPr>
        <w:t xml:space="preserve">, </w:t>
      </w:r>
      <w:proofErr w:type="spellStart"/>
      <w:r w:rsidR="005D170B" w:rsidRPr="005D170B">
        <w:rPr>
          <w:b/>
          <w:iCs/>
          <w:lang w:val="en-GB"/>
        </w:rPr>
        <w:t>Pluralisierung</w:t>
      </w:r>
      <w:proofErr w:type="spellEnd"/>
      <w:r w:rsidR="005D170B" w:rsidRPr="005D170B">
        <w:rPr>
          <w:b/>
          <w:iCs/>
          <w:lang w:val="en-GB"/>
        </w:rPr>
        <w:t xml:space="preserve"> und </w:t>
      </w:r>
      <w:proofErr w:type="spellStart"/>
      <w:r w:rsidR="005D170B" w:rsidRPr="005D170B">
        <w:rPr>
          <w:b/>
          <w:iCs/>
          <w:lang w:val="en-GB"/>
        </w:rPr>
        <w:t>Abbruch</w:t>
      </w:r>
      <w:proofErr w:type="spellEnd"/>
      <w:r w:rsidR="005D170B" w:rsidRPr="005D170B">
        <w:rPr>
          <w:b/>
          <w:iCs/>
          <w:lang w:val="en-GB"/>
        </w:rPr>
        <w:t xml:space="preserve"> </w:t>
      </w:r>
      <w:proofErr w:type="spellStart"/>
      <w:r w:rsidR="005D170B" w:rsidRPr="005D170B">
        <w:rPr>
          <w:b/>
          <w:iCs/>
          <w:lang w:val="en-GB"/>
        </w:rPr>
        <w:t>religiöser</w:t>
      </w:r>
      <w:proofErr w:type="spellEnd"/>
      <w:r w:rsidR="005D170B" w:rsidRPr="005D170B">
        <w:rPr>
          <w:b/>
          <w:iCs/>
          <w:lang w:val="en-GB"/>
        </w:rPr>
        <w:t xml:space="preserve"> </w:t>
      </w:r>
      <w:proofErr w:type="spellStart"/>
      <w:r w:rsidR="005D170B" w:rsidRPr="005D170B">
        <w:rPr>
          <w:b/>
          <w:iCs/>
          <w:lang w:val="en-GB"/>
        </w:rPr>
        <w:t>Sozialisation</w:t>
      </w:r>
      <w:proofErr w:type="spellEnd"/>
    </w:p>
    <w:p w:rsidR="00000000" w:rsidRPr="00D408EE" w:rsidRDefault="00EF57E6" w:rsidP="00D408EE">
      <w:pPr>
        <w:numPr>
          <w:ilvl w:val="0"/>
          <w:numId w:val="5"/>
        </w:numPr>
        <w:spacing w:after="60"/>
        <w:rPr>
          <w:iCs/>
        </w:rPr>
      </w:pPr>
      <w:r w:rsidRPr="00D408EE">
        <w:rPr>
          <w:iCs/>
        </w:rPr>
        <w:t xml:space="preserve">Individualisierung und Pluralisierung als weitere zentrale Trends moderner Gesellschaften gehen einher mit einer zunehmenden Selbstbestimmung der Lebensführung des einzelnen unter </w:t>
      </w:r>
      <w:r w:rsidRPr="00D408EE">
        <w:rPr>
          <w:iCs/>
        </w:rPr>
        <w:t xml:space="preserve">Bedingungen gesteigerter Optionsvielfalt im Denken und Handeln        </w:t>
      </w:r>
    </w:p>
    <w:p w:rsidR="00000000" w:rsidRPr="00D408EE" w:rsidRDefault="00EF57E6" w:rsidP="00D408EE">
      <w:pPr>
        <w:numPr>
          <w:ilvl w:val="0"/>
          <w:numId w:val="5"/>
        </w:numPr>
        <w:spacing w:after="60"/>
        <w:rPr>
          <w:iCs/>
        </w:rPr>
      </w:pPr>
      <w:r w:rsidRPr="00D408EE">
        <w:rPr>
          <w:iCs/>
        </w:rPr>
        <w:t>von der damit verbundenen zunehmenden Skepsis gegenüber normsetzenden Autoritäten sind zum einen die Kirchen als Instit</w:t>
      </w:r>
      <w:r w:rsidRPr="00D408EE">
        <w:rPr>
          <w:iCs/>
        </w:rPr>
        <w:t>ution unmittelbar betroffen</w:t>
      </w:r>
    </w:p>
    <w:p w:rsidR="00000000" w:rsidRPr="00D408EE" w:rsidRDefault="00EF57E6" w:rsidP="00D408EE">
      <w:pPr>
        <w:numPr>
          <w:ilvl w:val="0"/>
          <w:numId w:val="5"/>
        </w:numPr>
        <w:spacing w:after="60"/>
        <w:rPr>
          <w:iCs/>
        </w:rPr>
      </w:pPr>
      <w:r w:rsidRPr="00D408EE">
        <w:rPr>
          <w:iCs/>
        </w:rPr>
        <w:t>zum anderen spricht aber auch Einiges dafür, dass es im Zuge von Individualisierung und Pluralisierung nicht nur zur Abwendung von der Institution Kirche kommt, s</w:t>
      </w:r>
      <w:r w:rsidRPr="00D408EE">
        <w:rPr>
          <w:iCs/>
        </w:rPr>
        <w:t xml:space="preserve">ondern die Plausibilität religiöser Sinnsysteme insgesamt abnimmt („kognitive Kontamination“; P. L. BERGER) </w:t>
      </w:r>
    </w:p>
    <w:p w:rsidR="00000000" w:rsidRPr="00D408EE" w:rsidRDefault="00EF57E6" w:rsidP="00D408EE">
      <w:pPr>
        <w:numPr>
          <w:ilvl w:val="0"/>
          <w:numId w:val="5"/>
        </w:numPr>
        <w:spacing w:after="60"/>
        <w:rPr>
          <w:iCs/>
        </w:rPr>
      </w:pPr>
      <w:r w:rsidRPr="00D408EE">
        <w:rPr>
          <w:iCs/>
        </w:rPr>
        <w:lastRenderedPageBreak/>
        <w:t>darüber hinaus lässt sich empirisch zeigen, dass Individualisierungswerte wie Sel</w:t>
      </w:r>
      <w:r w:rsidRPr="00D408EE">
        <w:rPr>
          <w:iCs/>
        </w:rPr>
        <w:t>bstverwirklichung und Hedonismus mit den meisten Religiositätsitems negativ korrelieren</w:t>
      </w:r>
    </w:p>
    <w:p w:rsidR="00000000" w:rsidRPr="00D408EE" w:rsidRDefault="00EF57E6" w:rsidP="00D408EE">
      <w:pPr>
        <w:numPr>
          <w:ilvl w:val="0"/>
          <w:numId w:val="5"/>
        </w:numPr>
        <w:spacing w:after="60"/>
        <w:rPr>
          <w:iCs/>
        </w:rPr>
      </w:pPr>
      <w:r w:rsidRPr="00D408EE">
        <w:rPr>
          <w:iCs/>
        </w:rPr>
        <w:t>massive Abbrüche bei der religiösen Sozialisation (fehlendes Wissen/fehlende Erfahrung) erschweren den</w:t>
      </w:r>
      <w:r w:rsidRPr="00D408EE">
        <w:rPr>
          <w:iCs/>
        </w:rPr>
        <w:t xml:space="preserve"> Zugang zur Kirche und Religion für nachfolgende Generationen von vornherein  </w:t>
      </w:r>
    </w:p>
    <w:p w:rsidR="005D170B" w:rsidRPr="00D408EE" w:rsidRDefault="00D408EE" w:rsidP="00D408EE">
      <w:pPr>
        <w:spacing w:after="60"/>
        <w:ind w:left="360"/>
        <w:rPr>
          <w:b/>
          <w:bCs/>
          <w:i/>
          <w:iCs/>
        </w:rPr>
      </w:pPr>
      <w:r w:rsidRPr="00D408EE">
        <w:rPr>
          <w:b/>
          <w:bCs/>
          <w:i/>
          <w:iCs/>
        </w:rPr>
        <w:t xml:space="preserve">Empfehlung: Verknüpfung individueller Ansprüche mit intergenerationaler und </w:t>
      </w:r>
      <w:proofErr w:type="spellStart"/>
      <w:r w:rsidRPr="00D408EE">
        <w:rPr>
          <w:b/>
          <w:bCs/>
          <w:i/>
          <w:iCs/>
        </w:rPr>
        <w:t>gemeinschaft-licher</w:t>
      </w:r>
      <w:proofErr w:type="spellEnd"/>
      <w:r w:rsidRPr="00D408EE">
        <w:rPr>
          <w:b/>
          <w:bCs/>
          <w:i/>
          <w:iCs/>
        </w:rPr>
        <w:t xml:space="preserve"> Einbindung</w:t>
      </w:r>
    </w:p>
    <w:p w:rsidR="00000000" w:rsidRPr="00D408EE" w:rsidRDefault="00EF57E6" w:rsidP="00D408EE">
      <w:pPr>
        <w:numPr>
          <w:ilvl w:val="0"/>
          <w:numId w:val="7"/>
        </w:numPr>
        <w:spacing w:after="60"/>
        <w:rPr>
          <w:iCs/>
        </w:rPr>
      </w:pPr>
      <w:r w:rsidRPr="00D408EE">
        <w:rPr>
          <w:iCs/>
        </w:rPr>
        <w:t>Schaffung von Möglichkeiten direkter personaler Kommunikation (</w:t>
      </w:r>
      <w:r w:rsidRPr="00D408EE">
        <w:rPr>
          <w:i/>
          <w:iCs/>
        </w:rPr>
        <w:t>face-</w:t>
      </w:r>
      <w:proofErr w:type="spellStart"/>
      <w:r w:rsidRPr="00D408EE">
        <w:rPr>
          <w:i/>
          <w:iCs/>
        </w:rPr>
        <w:t>to</w:t>
      </w:r>
      <w:proofErr w:type="spellEnd"/>
      <w:r w:rsidRPr="00D408EE">
        <w:rPr>
          <w:i/>
          <w:iCs/>
        </w:rPr>
        <w:t>-face</w:t>
      </w:r>
      <w:r w:rsidRPr="00D408EE">
        <w:rPr>
          <w:iCs/>
        </w:rPr>
        <w:t xml:space="preserve">) </w:t>
      </w:r>
    </w:p>
    <w:p w:rsidR="00000000" w:rsidRPr="00D408EE" w:rsidRDefault="00EF57E6" w:rsidP="00D408EE">
      <w:pPr>
        <w:numPr>
          <w:ilvl w:val="0"/>
          <w:numId w:val="7"/>
        </w:numPr>
        <w:spacing w:after="60"/>
        <w:rPr>
          <w:iCs/>
        </w:rPr>
      </w:pPr>
      <w:r w:rsidRPr="00D408EE">
        <w:rPr>
          <w:iCs/>
        </w:rPr>
        <w:t xml:space="preserve">Stärkung von dialogischen Kommunikationsstrukturen „auf Augenhöhe“ </w:t>
      </w:r>
    </w:p>
    <w:p w:rsidR="00000000" w:rsidRPr="00D408EE" w:rsidRDefault="00EF57E6" w:rsidP="00D408EE">
      <w:pPr>
        <w:numPr>
          <w:ilvl w:val="1"/>
          <w:numId w:val="7"/>
        </w:numPr>
        <w:spacing w:after="60"/>
        <w:rPr>
          <w:iCs/>
        </w:rPr>
      </w:pPr>
      <w:r w:rsidRPr="00D408EE">
        <w:rPr>
          <w:iCs/>
        </w:rPr>
        <w:t xml:space="preserve">Hauskreise </w:t>
      </w:r>
      <w:proofErr w:type="spellStart"/>
      <w:r w:rsidRPr="00D408EE">
        <w:rPr>
          <w:iCs/>
        </w:rPr>
        <w:t>u.ä.</w:t>
      </w:r>
      <w:proofErr w:type="spellEnd"/>
    </w:p>
    <w:p w:rsidR="00000000" w:rsidRPr="00D408EE" w:rsidRDefault="00EF57E6" w:rsidP="00D408EE">
      <w:pPr>
        <w:numPr>
          <w:ilvl w:val="1"/>
          <w:numId w:val="7"/>
        </w:numPr>
        <w:spacing w:after="60"/>
        <w:rPr>
          <w:iCs/>
        </w:rPr>
      </w:pPr>
      <w:r w:rsidRPr="00D408EE">
        <w:rPr>
          <w:iCs/>
        </w:rPr>
        <w:t>Teamarbeit</w:t>
      </w:r>
    </w:p>
    <w:p w:rsidR="00000000" w:rsidRPr="00D408EE" w:rsidRDefault="00EF57E6" w:rsidP="00D408EE">
      <w:pPr>
        <w:numPr>
          <w:ilvl w:val="1"/>
          <w:numId w:val="7"/>
        </w:numPr>
        <w:spacing w:after="60"/>
        <w:rPr>
          <w:iCs/>
        </w:rPr>
      </w:pPr>
      <w:r w:rsidRPr="00D408EE">
        <w:rPr>
          <w:iCs/>
        </w:rPr>
        <w:t>Schaffung von Knotenpunkten als Treffpunkte von Professionellen und ehrenamtlichen Laien</w:t>
      </w:r>
    </w:p>
    <w:p w:rsidR="00000000" w:rsidRPr="00D408EE" w:rsidRDefault="00EF57E6" w:rsidP="00D408EE">
      <w:pPr>
        <w:numPr>
          <w:ilvl w:val="0"/>
          <w:numId w:val="7"/>
        </w:numPr>
        <w:spacing w:after="60"/>
        <w:rPr>
          <w:iCs/>
        </w:rPr>
      </w:pPr>
      <w:r w:rsidRPr="00D408EE">
        <w:rPr>
          <w:iCs/>
        </w:rPr>
        <w:t xml:space="preserve">entscheidend für die Aufgeschlossenheit des Einzelnen gegenüber Religion ist die frühzeitige Begegnung mit religiösen Traditionen bzw. Vermittlung religiösen Wissens </w:t>
      </w:r>
      <w:r w:rsidRPr="00D408EE">
        <w:rPr>
          <w:iCs/>
        </w:rPr>
        <w:sym w:font="Wingdings" w:char="F0E0"/>
      </w:r>
      <w:r w:rsidRPr="00D408EE">
        <w:rPr>
          <w:iCs/>
        </w:rPr>
        <w:t xml:space="preserve"> Sozialisationskette zwischen den Generationen muss erhalten werden </w:t>
      </w:r>
    </w:p>
    <w:p w:rsidR="00000000" w:rsidRPr="00D408EE" w:rsidRDefault="00EF57E6" w:rsidP="00D408EE">
      <w:pPr>
        <w:numPr>
          <w:ilvl w:val="1"/>
          <w:numId w:val="7"/>
        </w:numPr>
        <w:spacing w:after="60"/>
        <w:rPr>
          <w:iCs/>
        </w:rPr>
      </w:pPr>
      <w:r w:rsidRPr="00D408EE">
        <w:rPr>
          <w:iCs/>
        </w:rPr>
        <w:t xml:space="preserve">gemeinsame kirchliche Angebote für </w:t>
      </w:r>
      <w:r w:rsidRPr="00D408EE">
        <w:rPr>
          <w:iCs/>
        </w:rPr>
        <w:t>Kinder/Jugendliche/Familien</w:t>
      </w:r>
    </w:p>
    <w:p w:rsidR="00000000" w:rsidRPr="00D408EE" w:rsidRDefault="00EF57E6" w:rsidP="00D408EE">
      <w:pPr>
        <w:numPr>
          <w:ilvl w:val="0"/>
          <w:numId w:val="7"/>
        </w:numPr>
        <w:spacing w:after="60"/>
        <w:rPr>
          <w:iCs/>
        </w:rPr>
      </w:pPr>
      <w:r w:rsidRPr="00D408EE">
        <w:rPr>
          <w:iCs/>
        </w:rPr>
        <w:t>bei aller Berücksichtigung von Individualitätsansprüchen traditionell gewachsene Strukturen der religiösen Kommunikation nicht vernachlässigen</w:t>
      </w:r>
    </w:p>
    <w:p w:rsidR="00000000" w:rsidRPr="00D408EE" w:rsidRDefault="00EF57E6" w:rsidP="00D408EE">
      <w:pPr>
        <w:numPr>
          <w:ilvl w:val="1"/>
          <w:numId w:val="7"/>
        </w:numPr>
        <w:spacing w:after="60"/>
        <w:rPr>
          <w:iCs/>
        </w:rPr>
      </w:pPr>
      <w:r w:rsidRPr="00D408EE">
        <w:rPr>
          <w:iCs/>
        </w:rPr>
        <w:t>religiöse Kommunikation und Sozialisation erfolgt vor allem im personalen Nahbereich (Familie und Freunde, weniger über digitale Medien; KMU V)</w:t>
      </w:r>
    </w:p>
    <w:p w:rsidR="00000000" w:rsidRDefault="00EF57E6" w:rsidP="00D408EE">
      <w:pPr>
        <w:numPr>
          <w:ilvl w:val="0"/>
          <w:numId w:val="1"/>
        </w:numPr>
        <w:spacing w:after="60"/>
        <w:rPr>
          <w:iCs/>
        </w:rPr>
      </w:pPr>
      <w:r w:rsidRPr="00D408EE">
        <w:rPr>
          <w:iCs/>
        </w:rPr>
        <w:t>bzgl. des Kontaktes und der Verbundenheit zur Gemeinde bzw. Kirche stellen nach wie vor die Pfarrerinnen und Pfarrer („Gesichter der Kirche“) die zentrale Anlaufstelle und Bezugsperson dar (KMU V)</w:t>
      </w:r>
    </w:p>
    <w:p w:rsidR="00D408EE" w:rsidRDefault="00D408EE" w:rsidP="00D408EE">
      <w:pPr>
        <w:spacing w:after="60"/>
        <w:rPr>
          <w:iCs/>
        </w:rPr>
      </w:pPr>
    </w:p>
    <w:p w:rsidR="00D408EE" w:rsidRDefault="00D408EE" w:rsidP="00D408EE">
      <w:pPr>
        <w:spacing w:after="60"/>
        <w:rPr>
          <w:b/>
          <w:iCs/>
        </w:rPr>
      </w:pPr>
      <w:r w:rsidRPr="00D408EE">
        <w:rPr>
          <w:b/>
          <w:iCs/>
        </w:rPr>
        <w:t>III. Fazit</w:t>
      </w:r>
    </w:p>
    <w:p w:rsidR="00000000" w:rsidRPr="00D408EE" w:rsidRDefault="00EF57E6" w:rsidP="00D408EE">
      <w:pPr>
        <w:numPr>
          <w:ilvl w:val="0"/>
          <w:numId w:val="10"/>
        </w:numPr>
        <w:spacing w:after="60"/>
        <w:rPr>
          <w:iCs/>
        </w:rPr>
      </w:pPr>
      <w:r w:rsidRPr="00D408EE">
        <w:rPr>
          <w:iCs/>
        </w:rPr>
        <w:t>tiefgreifende gesellschaftliche Wandlungsprozesse wie funktionale Differenzierung, Individualisierung und Pluralisierung stellen die Kirchen in ihrer „traditionellen“ Ausrichtung vor große Herausforderungen</w:t>
      </w:r>
    </w:p>
    <w:p w:rsidR="00000000" w:rsidRPr="00D408EE" w:rsidRDefault="00EF57E6" w:rsidP="00D408EE">
      <w:pPr>
        <w:numPr>
          <w:ilvl w:val="0"/>
          <w:numId w:val="10"/>
        </w:numPr>
        <w:spacing w:after="60"/>
        <w:rPr>
          <w:iCs/>
        </w:rPr>
      </w:pPr>
      <w:r w:rsidRPr="00D408EE">
        <w:rPr>
          <w:iCs/>
        </w:rPr>
        <w:t>Kirche sollte darauf reagieren, indem sie einerseits auf damit verbundene veränderte Ansprüche und Gegebenheiten einlässt (Diffusion in die Gesellschaft, „authentische“ Kommunikationsformen</w:t>
      </w:r>
      <w:r w:rsidRPr="00D408EE">
        <w:rPr>
          <w:iCs/>
        </w:rPr>
        <w:t xml:space="preserve">, intergenerationale Angebote usw.), ohne andererseits ihre bewährten traditionellen Strukturen und den identitätsgenerierenden Aspekt der Vergemeinschaftung zu vernachlässigen   </w:t>
      </w:r>
    </w:p>
    <w:p w:rsidR="00000000" w:rsidRPr="00D408EE" w:rsidRDefault="00EF57E6" w:rsidP="00D408EE">
      <w:pPr>
        <w:numPr>
          <w:ilvl w:val="0"/>
          <w:numId w:val="10"/>
        </w:numPr>
        <w:spacing w:after="60"/>
        <w:rPr>
          <w:iCs/>
        </w:rPr>
      </w:pPr>
      <w:r w:rsidRPr="00D408EE">
        <w:rPr>
          <w:iCs/>
        </w:rPr>
        <w:t xml:space="preserve"> letztlich</w:t>
      </w:r>
      <w:r w:rsidRPr="00D408EE">
        <w:rPr>
          <w:iCs/>
        </w:rPr>
        <w:t xml:space="preserve"> geht es darum, die richtige Balance zwischen organisatorischer Leistungsanpassung und der Bewahrung des nicht-instrumentalisierbaren Kerns (christlicher Glaube) herzustellen – was bei umsichtiger Vorgehensweise kein Nullsummenspiel darstellen muss </w:t>
      </w:r>
    </w:p>
    <w:p w:rsidR="00D408EE" w:rsidRDefault="00D408EE" w:rsidP="00D408EE">
      <w:pPr>
        <w:rPr>
          <w:b/>
          <w:iCs/>
        </w:rPr>
      </w:pPr>
    </w:p>
    <w:p w:rsidR="00D408EE" w:rsidRDefault="00D408EE" w:rsidP="00D408EE">
      <w:pPr>
        <w:spacing w:after="60"/>
        <w:rPr>
          <w:b/>
          <w:iCs/>
        </w:rPr>
      </w:pPr>
      <w:r>
        <w:rPr>
          <w:b/>
          <w:iCs/>
        </w:rPr>
        <w:t>IV. Literatur</w:t>
      </w:r>
    </w:p>
    <w:p w:rsidR="00D408EE" w:rsidRPr="00D408EE" w:rsidRDefault="00D408EE" w:rsidP="00D408EE">
      <w:pPr>
        <w:spacing w:after="60"/>
        <w:rPr>
          <w:iCs/>
        </w:rPr>
      </w:pPr>
      <w:r w:rsidRPr="00D408EE">
        <w:rPr>
          <w:iCs/>
        </w:rPr>
        <w:t xml:space="preserve">Bedford-Strohm, Heinrich/Jung, Volker (Hrsg.)(2015): </w:t>
      </w:r>
      <w:r w:rsidRPr="00D408EE">
        <w:rPr>
          <w:i/>
          <w:iCs/>
        </w:rPr>
        <w:t xml:space="preserve">Vernetzte Vielfalt. Die fünfte EKD-Erhebung über Kirchenmitgliedschaft. </w:t>
      </w:r>
      <w:r w:rsidRPr="00D408EE">
        <w:rPr>
          <w:iCs/>
        </w:rPr>
        <w:t>Gütersloh: Gütersloher Verlagshaus.</w:t>
      </w:r>
    </w:p>
    <w:p w:rsidR="00D408EE" w:rsidRPr="00D408EE" w:rsidRDefault="00D408EE" w:rsidP="00D408EE">
      <w:pPr>
        <w:spacing w:after="60"/>
        <w:rPr>
          <w:iCs/>
        </w:rPr>
      </w:pPr>
      <w:r w:rsidRPr="00D408EE">
        <w:rPr>
          <w:iCs/>
        </w:rPr>
        <w:t xml:space="preserve">Berger, Peter L. (1994): </w:t>
      </w:r>
      <w:r w:rsidRPr="00D408EE">
        <w:rPr>
          <w:i/>
          <w:iCs/>
        </w:rPr>
        <w:t>Sehnsucht nach Sinn. Glaube in einer Zeit der Leichtgläubigkeit.</w:t>
      </w:r>
      <w:r w:rsidRPr="00D408EE">
        <w:rPr>
          <w:iCs/>
        </w:rPr>
        <w:t xml:space="preserve"> Frankfurt a.M.: Campus.</w:t>
      </w:r>
    </w:p>
    <w:p w:rsidR="00D408EE" w:rsidRPr="00D408EE" w:rsidRDefault="00D408EE" w:rsidP="00D408EE">
      <w:pPr>
        <w:spacing w:after="60"/>
        <w:rPr>
          <w:iCs/>
        </w:rPr>
      </w:pPr>
      <w:proofErr w:type="spellStart"/>
      <w:r w:rsidRPr="00D408EE">
        <w:rPr>
          <w:iCs/>
        </w:rPr>
        <w:t>Luckmann</w:t>
      </w:r>
      <w:proofErr w:type="spellEnd"/>
      <w:r w:rsidRPr="00D408EE">
        <w:rPr>
          <w:iCs/>
        </w:rPr>
        <w:t xml:space="preserve">, Thomas (1991 [engl. 1967]): </w:t>
      </w:r>
      <w:r w:rsidRPr="00D408EE">
        <w:rPr>
          <w:i/>
          <w:iCs/>
        </w:rPr>
        <w:t xml:space="preserve">Die unsichtbare Religion. </w:t>
      </w:r>
      <w:r w:rsidRPr="00D408EE">
        <w:rPr>
          <w:iCs/>
        </w:rPr>
        <w:t xml:space="preserve">Frankfurt a.M.: Suhrkamp. </w:t>
      </w:r>
    </w:p>
    <w:p w:rsidR="00D408EE" w:rsidRPr="00D408EE" w:rsidRDefault="00D408EE" w:rsidP="00D408EE">
      <w:pPr>
        <w:spacing w:after="60"/>
        <w:rPr>
          <w:iCs/>
        </w:rPr>
      </w:pPr>
      <w:r w:rsidRPr="00D408EE">
        <w:rPr>
          <w:iCs/>
        </w:rPr>
        <w:t xml:space="preserve">Pollack, Detlef (2015): </w:t>
      </w:r>
      <w:r w:rsidRPr="00D408EE">
        <w:rPr>
          <w:i/>
          <w:iCs/>
        </w:rPr>
        <w:t>Abbau, Aufbau, Umbau – Evangelische Kirche im peripheren Raum aus religionssoziologischer Perspektive.</w:t>
      </w:r>
      <w:r w:rsidRPr="00D408EE">
        <w:rPr>
          <w:iCs/>
        </w:rPr>
        <w:t xml:space="preserve"> In: epd-Dokumentation 42, 12-18. </w:t>
      </w:r>
    </w:p>
    <w:p w:rsidR="00D408EE" w:rsidRPr="00D408EE" w:rsidRDefault="00D408EE" w:rsidP="00D408EE">
      <w:pPr>
        <w:spacing w:after="60"/>
        <w:rPr>
          <w:b/>
          <w:iCs/>
        </w:rPr>
      </w:pPr>
    </w:p>
    <w:sectPr w:rsidR="00D408EE" w:rsidRPr="00D408EE" w:rsidSect="00D408EE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E6" w:rsidRDefault="00EF57E6" w:rsidP="00D408EE">
      <w:pPr>
        <w:spacing w:after="0"/>
      </w:pPr>
      <w:r>
        <w:separator/>
      </w:r>
    </w:p>
  </w:endnote>
  <w:endnote w:type="continuationSeparator" w:id="0">
    <w:p w:rsidR="00EF57E6" w:rsidRDefault="00EF57E6" w:rsidP="00D40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E6" w:rsidRDefault="00EF57E6" w:rsidP="00D408EE">
      <w:pPr>
        <w:spacing w:after="0"/>
      </w:pPr>
      <w:r>
        <w:separator/>
      </w:r>
    </w:p>
  </w:footnote>
  <w:footnote w:type="continuationSeparator" w:id="0">
    <w:p w:rsidR="00EF57E6" w:rsidRDefault="00EF57E6" w:rsidP="00D408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15401"/>
      <w:docPartObj>
        <w:docPartGallery w:val="Page Numbers (Top of Page)"/>
        <w:docPartUnique/>
      </w:docPartObj>
    </w:sdtPr>
    <w:sdtContent>
      <w:p w:rsidR="00D408EE" w:rsidRDefault="00D408E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08EE" w:rsidRDefault="00D408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99C"/>
    <w:multiLevelType w:val="hybridMultilevel"/>
    <w:tmpl w:val="CC4276C4"/>
    <w:lvl w:ilvl="0" w:tplc="9D54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0A3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2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A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E2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B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05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29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936250"/>
    <w:multiLevelType w:val="hybridMultilevel"/>
    <w:tmpl w:val="A19C8FF8"/>
    <w:lvl w:ilvl="0" w:tplc="A3A6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6F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4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62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4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C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E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E21384"/>
    <w:multiLevelType w:val="hybridMultilevel"/>
    <w:tmpl w:val="C1D6E14A"/>
    <w:lvl w:ilvl="0" w:tplc="7D0A7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A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A6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E6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84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03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85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2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9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A65076"/>
    <w:multiLevelType w:val="hybridMultilevel"/>
    <w:tmpl w:val="0248C98E"/>
    <w:lvl w:ilvl="0" w:tplc="DCCC4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A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C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2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8B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62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C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44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44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635037"/>
    <w:multiLevelType w:val="hybridMultilevel"/>
    <w:tmpl w:val="48266F82"/>
    <w:lvl w:ilvl="0" w:tplc="4AC02C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73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E41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291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01B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2DD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EC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88E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D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D14163"/>
    <w:multiLevelType w:val="hybridMultilevel"/>
    <w:tmpl w:val="73D65C6A"/>
    <w:lvl w:ilvl="0" w:tplc="F1B0A3FA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16B6B07C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0874C23E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366C2E3C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36F8330A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57FEFD8C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9532073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595EFB26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7D685D76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6">
    <w:nsid w:val="31275FAA"/>
    <w:multiLevelType w:val="hybridMultilevel"/>
    <w:tmpl w:val="8A2881E2"/>
    <w:lvl w:ilvl="0" w:tplc="3A7AD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E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C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6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AF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4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E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C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562845"/>
    <w:multiLevelType w:val="hybridMultilevel"/>
    <w:tmpl w:val="4B24117A"/>
    <w:lvl w:ilvl="0" w:tplc="B6B2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24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8B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2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67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A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4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A45FA7"/>
    <w:multiLevelType w:val="hybridMultilevel"/>
    <w:tmpl w:val="A972218A"/>
    <w:lvl w:ilvl="0" w:tplc="F94E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7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B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0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44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A6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AF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67142E"/>
    <w:multiLevelType w:val="hybridMultilevel"/>
    <w:tmpl w:val="BF186D6C"/>
    <w:lvl w:ilvl="0" w:tplc="4C62B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67A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A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00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5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E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25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ED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0B"/>
    <w:rsid w:val="001000A7"/>
    <w:rsid w:val="001962E3"/>
    <w:rsid w:val="00423414"/>
    <w:rsid w:val="005D170B"/>
    <w:rsid w:val="008D48E1"/>
    <w:rsid w:val="009F086F"/>
    <w:rsid w:val="00B849B9"/>
    <w:rsid w:val="00D408EE"/>
    <w:rsid w:val="00E52AF9"/>
    <w:rsid w:val="00EF57E6"/>
    <w:rsid w:val="00F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">
    <w:name w:val="Abbildung"/>
    <w:basedOn w:val="Standard"/>
    <w:qFormat/>
    <w:rsid w:val="00F61775"/>
    <w:pPr>
      <w:suppressLineNumbers/>
      <w:ind w:left="851" w:hanging="851"/>
    </w:pPr>
    <w:rPr>
      <w:rFonts w:ascii="Times New Roman" w:eastAsia="Times New Roman" w:hAnsi="Times New Roman" w:cs="Tahoma"/>
      <w:b/>
      <w:iCs/>
      <w:sz w:val="20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D408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8EE"/>
  </w:style>
  <w:style w:type="paragraph" w:styleId="Fuzeile">
    <w:name w:val="footer"/>
    <w:basedOn w:val="Standard"/>
    <w:link w:val="FuzeileZchn"/>
    <w:uiPriority w:val="99"/>
    <w:unhideWhenUsed/>
    <w:rsid w:val="00D408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">
    <w:name w:val="Abbildung"/>
    <w:basedOn w:val="Standard"/>
    <w:qFormat/>
    <w:rsid w:val="00F61775"/>
    <w:pPr>
      <w:suppressLineNumbers/>
      <w:ind w:left="851" w:hanging="851"/>
    </w:pPr>
    <w:rPr>
      <w:rFonts w:ascii="Times New Roman" w:eastAsia="Times New Roman" w:hAnsi="Times New Roman" w:cs="Tahoma"/>
      <w:b/>
      <w:iCs/>
      <w:sz w:val="20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D408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8EE"/>
  </w:style>
  <w:style w:type="paragraph" w:styleId="Fuzeile">
    <w:name w:val="footer"/>
    <w:basedOn w:val="Standard"/>
    <w:link w:val="FuzeileZchn"/>
    <w:uiPriority w:val="99"/>
    <w:unhideWhenUsed/>
    <w:rsid w:val="00D408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13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9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13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933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82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96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Müller</dc:creator>
  <cp:lastModifiedBy>Olaf Müller</cp:lastModifiedBy>
  <cp:revision>1</cp:revision>
  <dcterms:created xsi:type="dcterms:W3CDTF">2016-01-31T14:19:00Z</dcterms:created>
  <dcterms:modified xsi:type="dcterms:W3CDTF">2016-01-31T14:42:00Z</dcterms:modified>
</cp:coreProperties>
</file>