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08" w:rsidRDefault="009C4608" w:rsidP="009C4608">
      <w:pPr>
        <w:jc w:val="both"/>
        <w:rPr>
          <w:rFonts w:ascii="Times New Roman" w:hAnsi="Times New Roman" w:cs="Times New Roman"/>
          <w:sz w:val="24"/>
          <w:szCs w:val="24"/>
        </w:rPr>
      </w:pPr>
    </w:p>
    <w:p w:rsidR="009C4608" w:rsidRPr="009C4608" w:rsidRDefault="009C4608" w:rsidP="009C4608">
      <w:pPr>
        <w:jc w:val="center"/>
        <w:rPr>
          <w:rFonts w:ascii="Times New Roman" w:hAnsi="Times New Roman" w:cs="Times New Roman"/>
          <w:b/>
          <w:sz w:val="24"/>
          <w:szCs w:val="24"/>
        </w:rPr>
      </w:pPr>
      <w:r w:rsidRPr="009C4608">
        <w:rPr>
          <w:rFonts w:ascii="Times New Roman" w:hAnsi="Times New Roman" w:cs="Times New Roman"/>
          <w:b/>
          <w:sz w:val="24"/>
          <w:szCs w:val="24"/>
        </w:rPr>
        <w:t>Vortrag beim Forum „Religion und Gesellschaft“ am 01.02.2016 in Dortmund</w:t>
      </w:r>
    </w:p>
    <w:p w:rsidR="009C4608" w:rsidRPr="009C4608" w:rsidRDefault="009C4608" w:rsidP="009C4608">
      <w:pPr>
        <w:jc w:val="center"/>
        <w:rPr>
          <w:rFonts w:ascii="Times New Roman" w:hAnsi="Times New Roman" w:cs="Times New Roman"/>
          <w:b/>
          <w:sz w:val="28"/>
          <w:szCs w:val="28"/>
        </w:rPr>
      </w:pPr>
      <w:r w:rsidRPr="009C4608">
        <w:rPr>
          <w:rFonts w:ascii="Times New Roman" w:hAnsi="Times New Roman" w:cs="Times New Roman"/>
          <w:b/>
          <w:sz w:val="28"/>
          <w:szCs w:val="28"/>
        </w:rPr>
        <w:t xml:space="preserve">Quo </w:t>
      </w:r>
      <w:proofErr w:type="spellStart"/>
      <w:r w:rsidRPr="009C4608">
        <w:rPr>
          <w:rFonts w:ascii="Times New Roman" w:hAnsi="Times New Roman" w:cs="Times New Roman"/>
          <w:b/>
          <w:sz w:val="28"/>
          <w:szCs w:val="28"/>
        </w:rPr>
        <w:t>vadis</w:t>
      </w:r>
      <w:proofErr w:type="spellEnd"/>
      <w:r w:rsidRPr="009C4608">
        <w:rPr>
          <w:rFonts w:ascii="Times New Roman" w:hAnsi="Times New Roman" w:cs="Times New Roman"/>
          <w:b/>
          <w:sz w:val="28"/>
          <w:szCs w:val="28"/>
        </w:rPr>
        <w:t xml:space="preserve"> Kirche? Was ist zu tun?“</w:t>
      </w:r>
    </w:p>
    <w:p w:rsidR="009C4608" w:rsidRPr="00D4662A" w:rsidRDefault="009C4608" w:rsidP="00D4662A">
      <w:pPr>
        <w:jc w:val="center"/>
        <w:rPr>
          <w:rFonts w:ascii="Times New Roman" w:hAnsi="Times New Roman" w:cs="Times New Roman"/>
          <w:b/>
          <w:sz w:val="24"/>
          <w:szCs w:val="24"/>
        </w:rPr>
      </w:pPr>
      <w:r w:rsidRPr="00D4662A">
        <w:rPr>
          <w:rFonts w:ascii="Times New Roman" w:hAnsi="Times New Roman" w:cs="Times New Roman"/>
          <w:b/>
          <w:sz w:val="24"/>
          <w:szCs w:val="24"/>
        </w:rPr>
        <w:t>1. Einige Probleme und Herausforderungen</w:t>
      </w:r>
    </w:p>
    <w:p w:rsidR="009C4608" w:rsidRPr="00ED3F9F" w:rsidRDefault="009C4608" w:rsidP="009C4608">
      <w:pPr>
        <w:jc w:val="both"/>
        <w:rPr>
          <w:rFonts w:ascii="Times New Roman" w:hAnsi="Times New Roman" w:cs="Times New Roman"/>
        </w:rPr>
      </w:pPr>
      <w:r w:rsidRPr="00ED3F9F">
        <w:rPr>
          <w:rFonts w:ascii="Times New Roman" w:hAnsi="Times New Roman" w:cs="Times New Roman"/>
        </w:rPr>
        <w:t xml:space="preserve">Die Stellung der Kirche in der Gesellschaft (und wohl im Staat) befindet sich – wieder einmal – in einem Umbruch. </w:t>
      </w:r>
      <w:r w:rsidRPr="00ED3F9F">
        <w:rPr>
          <w:rFonts w:ascii="Times New Roman" w:hAnsi="Times New Roman" w:cs="Times New Roman"/>
          <w:i/>
        </w:rPr>
        <w:t xml:space="preserve">Die Kirchenmitgliedschaft </w:t>
      </w:r>
      <w:r w:rsidR="00ED3F9F">
        <w:rPr>
          <w:rFonts w:ascii="Times New Roman" w:hAnsi="Times New Roman" w:cs="Times New Roman"/>
          <w:i/>
        </w:rPr>
        <w:t xml:space="preserve">wandelt </w:t>
      </w:r>
      <w:r w:rsidRPr="00ED3F9F">
        <w:rPr>
          <w:rFonts w:ascii="Times New Roman" w:hAnsi="Times New Roman" w:cs="Times New Roman"/>
          <w:i/>
        </w:rPr>
        <w:t>sich von einer Selbstverständlichkeit zu einer</w:t>
      </w:r>
      <w:r w:rsidRPr="00ED3F9F">
        <w:rPr>
          <w:rFonts w:ascii="Times New Roman" w:hAnsi="Times New Roman" w:cs="Times New Roman"/>
        </w:rPr>
        <w:t xml:space="preserve"> </w:t>
      </w:r>
      <w:proofErr w:type="spellStart"/>
      <w:r w:rsidRPr="00ED3F9F">
        <w:rPr>
          <w:rFonts w:ascii="Times New Roman" w:hAnsi="Times New Roman" w:cs="Times New Roman"/>
          <w:i/>
        </w:rPr>
        <w:t>Optionalität</w:t>
      </w:r>
      <w:proofErr w:type="spellEnd"/>
      <w:r w:rsidRPr="00ED3F9F">
        <w:rPr>
          <w:rFonts w:ascii="Times New Roman" w:hAnsi="Times New Roman" w:cs="Times New Roman"/>
        </w:rPr>
        <w:t xml:space="preserve">. Dazu treten u.a. Veränderungen in der liturgischen Partizipation, Probleme im </w:t>
      </w:r>
      <w:r w:rsidR="00724005">
        <w:rPr>
          <w:rFonts w:ascii="Times New Roman" w:hAnsi="Times New Roman" w:cs="Times New Roman"/>
        </w:rPr>
        <w:t xml:space="preserve">Kirchenverständnis </w:t>
      </w:r>
      <w:r w:rsidRPr="00ED3F9F">
        <w:rPr>
          <w:rFonts w:ascii="Times New Roman" w:hAnsi="Times New Roman" w:cs="Times New Roman"/>
        </w:rPr>
        <w:t xml:space="preserve">und Auseinandersetzungen bei Kasualien.  </w:t>
      </w:r>
    </w:p>
    <w:p w:rsidR="009C4608" w:rsidRPr="00D4662A" w:rsidRDefault="009C4608" w:rsidP="00D4662A">
      <w:pPr>
        <w:pStyle w:val="Listenabsatz"/>
        <w:numPr>
          <w:ilvl w:val="0"/>
          <w:numId w:val="2"/>
        </w:numPr>
        <w:jc w:val="center"/>
        <w:rPr>
          <w:rFonts w:ascii="Times New Roman" w:hAnsi="Times New Roman" w:cs="Times New Roman"/>
          <w:b/>
          <w:sz w:val="24"/>
          <w:szCs w:val="24"/>
        </w:rPr>
      </w:pPr>
      <w:r w:rsidRPr="00D4662A">
        <w:rPr>
          <w:rFonts w:ascii="Times New Roman" w:hAnsi="Times New Roman" w:cs="Times New Roman"/>
          <w:b/>
          <w:sz w:val="24"/>
          <w:szCs w:val="24"/>
        </w:rPr>
        <w:t>Der Begriff „Kirche“</w:t>
      </w:r>
    </w:p>
    <w:p w:rsidR="009C4608" w:rsidRPr="00ED3F9F" w:rsidRDefault="009C4608" w:rsidP="009C4608">
      <w:pPr>
        <w:jc w:val="both"/>
        <w:rPr>
          <w:rFonts w:ascii="Times New Roman" w:hAnsi="Times New Roman" w:cs="Times New Roman"/>
        </w:rPr>
      </w:pPr>
      <w:r w:rsidRPr="00ED3F9F">
        <w:rPr>
          <w:rFonts w:ascii="Times New Roman" w:hAnsi="Times New Roman" w:cs="Times New Roman"/>
        </w:rPr>
        <w:t>2.1 Im Mittelpunkt des Auftretens und Wirkens Jesu stand nach den Berichten der synoptischen Evangelien die Botschaft von der anbrechenden Gottesherrschaft. Er kommunizierte sie in drei Modi:</w:t>
      </w:r>
      <w:r w:rsidRPr="00ED3F9F">
        <w:rPr>
          <w:rStyle w:val="Funotenzeichen"/>
          <w:rFonts w:ascii="Times New Roman" w:hAnsi="Times New Roman" w:cs="Times New Roman"/>
        </w:rPr>
        <w:footnoteReference w:id="1"/>
      </w:r>
    </w:p>
    <w:p w:rsidR="009C4608" w:rsidRPr="00D4662A" w:rsidRDefault="009C4608" w:rsidP="009C4608">
      <w:pPr>
        <w:pStyle w:val="Listenabsatz"/>
        <w:numPr>
          <w:ilvl w:val="0"/>
          <w:numId w:val="1"/>
        </w:numPr>
        <w:rPr>
          <w:rFonts w:ascii="Times New Roman" w:hAnsi="Times New Roman" w:cs="Times New Roman"/>
        </w:rPr>
      </w:pPr>
      <w:r w:rsidRPr="00D4662A">
        <w:rPr>
          <w:rFonts w:ascii="Times New Roman" w:hAnsi="Times New Roman" w:cs="Times New Roman"/>
        </w:rPr>
        <w:t xml:space="preserve">In Form von </w:t>
      </w:r>
      <w:r w:rsidRPr="00D4662A">
        <w:rPr>
          <w:rFonts w:ascii="Times New Roman" w:hAnsi="Times New Roman" w:cs="Times New Roman"/>
          <w:i/>
        </w:rPr>
        <w:t>Lehr- und Lernprozessen,</w:t>
      </w:r>
      <w:r w:rsidRPr="00D4662A">
        <w:rPr>
          <w:rFonts w:ascii="Times New Roman" w:hAnsi="Times New Roman" w:cs="Times New Roman"/>
        </w:rPr>
        <w:t xml:space="preserve"> wie sie wohl am deutlichsten in den Gleichnissen zum Ausdruck kommen. Hier nahm Jesus allgemein allen Menschen zugängliche Phänomene des Alltags auf und machte sie auf Gottes liebevolles Wirken hin durchsichtig.</w:t>
      </w:r>
    </w:p>
    <w:p w:rsidR="009C4608" w:rsidRPr="00D4662A" w:rsidRDefault="009C4608" w:rsidP="009C4608">
      <w:pPr>
        <w:pStyle w:val="Listenabsatz"/>
        <w:numPr>
          <w:ilvl w:val="0"/>
          <w:numId w:val="1"/>
        </w:numPr>
        <w:rPr>
          <w:rFonts w:ascii="Times New Roman" w:hAnsi="Times New Roman" w:cs="Times New Roman"/>
        </w:rPr>
      </w:pPr>
      <w:r w:rsidRPr="00D4662A">
        <w:rPr>
          <w:rFonts w:ascii="Times New Roman" w:hAnsi="Times New Roman" w:cs="Times New Roman"/>
        </w:rPr>
        <w:t xml:space="preserve">In Form von </w:t>
      </w:r>
      <w:r w:rsidRPr="00D4662A">
        <w:rPr>
          <w:rFonts w:ascii="Times New Roman" w:hAnsi="Times New Roman" w:cs="Times New Roman"/>
          <w:i/>
        </w:rPr>
        <w:t>gemeinschaftlichen Feiern,</w:t>
      </w:r>
      <w:r w:rsidRPr="00D4662A">
        <w:rPr>
          <w:rFonts w:ascii="Times New Roman" w:hAnsi="Times New Roman" w:cs="Times New Roman"/>
        </w:rPr>
        <w:t xml:space="preserve"> wie sie Berichte von Mahlzeiten zeigen. Dabei überschritt Jesus die damals üblichen Exklusionen und Segregationen. Selbst mit „Sündern“ und „Zöllnern“ saß er am Tisch. </w:t>
      </w:r>
    </w:p>
    <w:p w:rsidR="009C4608" w:rsidRPr="00D4662A" w:rsidRDefault="009C4608" w:rsidP="009C4608">
      <w:pPr>
        <w:pStyle w:val="Listenabsatz"/>
        <w:numPr>
          <w:ilvl w:val="0"/>
          <w:numId w:val="1"/>
        </w:numPr>
        <w:rPr>
          <w:rFonts w:ascii="Times New Roman" w:hAnsi="Times New Roman" w:cs="Times New Roman"/>
        </w:rPr>
      </w:pPr>
      <w:r w:rsidRPr="00D4662A">
        <w:rPr>
          <w:rFonts w:ascii="Times New Roman" w:hAnsi="Times New Roman" w:cs="Times New Roman"/>
        </w:rPr>
        <w:t xml:space="preserve">In Form von </w:t>
      </w:r>
      <w:r w:rsidRPr="00D4662A">
        <w:rPr>
          <w:rFonts w:ascii="Times New Roman" w:hAnsi="Times New Roman" w:cs="Times New Roman"/>
          <w:i/>
        </w:rPr>
        <w:t>Helfen zum Leben,</w:t>
      </w:r>
      <w:r w:rsidRPr="00D4662A">
        <w:rPr>
          <w:rFonts w:ascii="Times New Roman" w:hAnsi="Times New Roman" w:cs="Times New Roman"/>
        </w:rPr>
        <w:t xml:space="preserve"> das sich in Heilungen zeigte. Auch hier fällt auf, dass Jesus bestehende Grenzen etwa ethnischer Art sprengte (zur Dynamik dieses Prozesses s. </w:t>
      </w:r>
      <w:proofErr w:type="spellStart"/>
      <w:r w:rsidRPr="00D4662A">
        <w:rPr>
          <w:rFonts w:ascii="Times New Roman" w:hAnsi="Times New Roman" w:cs="Times New Roman"/>
        </w:rPr>
        <w:t>Mt</w:t>
      </w:r>
      <w:proofErr w:type="spellEnd"/>
      <w:r w:rsidRPr="00D4662A">
        <w:rPr>
          <w:rFonts w:ascii="Times New Roman" w:hAnsi="Times New Roman" w:cs="Times New Roman"/>
        </w:rPr>
        <w:t xml:space="preserve"> 15,21-28) sowie grundsätzliche Neuausrichtung des Lebens (Sündenvergebung) und physische Heilung miteinander verband.</w:t>
      </w:r>
    </w:p>
    <w:p w:rsidR="009C4608" w:rsidRPr="00ED3F9F" w:rsidRDefault="009C4608" w:rsidP="009C4608">
      <w:pPr>
        <w:jc w:val="both"/>
        <w:rPr>
          <w:rFonts w:ascii="Times New Roman" w:hAnsi="Times New Roman" w:cs="Times New Roman"/>
        </w:rPr>
      </w:pPr>
      <w:r w:rsidRPr="00ED3F9F">
        <w:rPr>
          <w:rFonts w:ascii="Times New Roman" w:hAnsi="Times New Roman" w:cs="Times New Roman"/>
        </w:rPr>
        <w:t xml:space="preserve">Nach seinem Tod und dem damit sich unmittelbar anschließenden, überraschenden Neuaufbruch seiner Anhängerinnen und Anhänger bildeten sich schnell auf verschiedenen Ebenen Sozialformen, die im Neuen Testament u.a. mit dem damals keinesfalls religiös oder kultisch, sondern profan konnotierten Begriff </w:t>
      </w:r>
      <w:r w:rsidRPr="00ED3F9F">
        <w:rPr>
          <w:rFonts w:ascii="Times New Roman" w:hAnsi="Times New Roman" w:cs="Times New Roman"/>
          <w:i/>
        </w:rPr>
        <w:t>„Ekklesia“</w:t>
      </w:r>
      <w:r w:rsidRPr="00ED3F9F">
        <w:rPr>
          <w:rFonts w:ascii="Times New Roman" w:hAnsi="Times New Roman" w:cs="Times New Roman"/>
        </w:rPr>
        <w:t xml:space="preserve"> bezeichnet wurden, und zwar:</w:t>
      </w:r>
    </w:p>
    <w:p w:rsidR="009C4608" w:rsidRPr="00D4662A" w:rsidRDefault="009C4608" w:rsidP="009C4608">
      <w:pPr>
        <w:pStyle w:val="Listenabsatz"/>
        <w:numPr>
          <w:ilvl w:val="0"/>
          <w:numId w:val="1"/>
        </w:numPr>
        <w:rPr>
          <w:rFonts w:ascii="Times New Roman" w:hAnsi="Times New Roman" w:cs="Times New Roman"/>
        </w:rPr>
      </w:pPr>
      <w:r w:rsidRPr="00D4662A">
        <w:rPr>
          <w:rFonts w:ascii="Times New Roman" w:hAnsi="Times New Roman" w:cs="Times New Roman"/>
        </w:rPr>
        <w:t>In weltweiter, also die ganze Ökumene (im Sinne des bewohnten Erdkreises) umfassender Weise;</w:t>
      </w:r>
    </w:p>
    <w:p w:rsidR="009C4608" w:rsidRPr="00D4662A" w:rsidRDefault="009C4608" w:rsidP="009C4608">
      <w:pPr>
        <w:pStyle w:val="Listenabsatz"/>
        <w:numPr>
          <w:ilvl w:val="0"/>
          <w:numId w:val="1"/>
        </w:numPr>
        <w:rPr>
          <w:rFonts w:ascii="Times New Roman" w:hAnsi="Times New Roman" w:cs="Times New Roman"/>
        </w:rPr>
      </w:pPr>
      <w:r w:rsidRPr="00D4662A">
        <w:rPr>
          <w:rFonts w:ascii="Times New Roman" w:hAnsi="Times New Roman" w:cs="Times New Roman"/>
        </w:rPr>
        <w:t xml:space="preserve">in Landschaften wie Syrien oder </w:t>
      </w:r>
      <w:proofErr w:type="spellStart"/>
      <w:r w:rsidRPr="00D4662A">
        <w:rPr>
          <w:rFonts w:ascii="Times New Roman" w:hAnsi="Times New Roman" w:cs="Times New Roman"/>
        </w:rPr>
        <w:t>Cilicien</w:t>
      </w:r>
      <w:proofErr w:type="spellEnd"/>
      <w:r w:rsidRPr="00D4662A">
        <w:rPr>
          <w:rFonts w:ascii="Times New Roman" w:hAnsi="Times New Roman" w:cs="Times New Roman"/>
        </w:rPr>
        <w:t>;</w:t>
      </w:r>
    </w:p>
    <w:p w:rsidR="009C4608" w:rsidRPr="00D4662A" w:rsidRDefault="009C4608" w:rsidP="009C4608">
      <w:pPr>
        <w:pStyle w:val="Listenabsatz"/>
        <w:numPr>
          <w:ilvl w:val="0"/>
          <w:numId w:val="1"/>
        </w:numPr>
        <w:rPr>
          <w:rFonts w:ascii="Times New Roman" w:hAnsi="Times New Roman" w:cs="Times New Roman"/>
        </w:rPr>
      </w:pPr>
      <w:r w:rsidRPr="00D4662A">
        <w:rPr>
          <w:rFonts w:ascii="Times New Roman" w:hAnsi="Times New Roman" w:cs="Times New Roman"/>
        </w:rPr>
        <w:t>in Städten wie Korinth;</w:t>
      </w:r>
    </w:p>
    <w:p w:rsidR="009C4608" w:rsidRPr="00D4662A" w:rsidRDefault="009C4608" w:rsidP="009C4608">
      <w:pPr>
        <w:pStyle w:val="Listenabsatz"/>
        <w:numPr>
          <w:ilvl w:val="0"/>
          <w:numId w:val="1"/>
        </w:numPr>
        <w:rPr>
          <w:rFonts w:ascii="Times New Roman" w:hAnsi="Times New Roman" w:cs="Times New Roman"/>
        </w:rPr>
      </w:pPr>
      <w:r w:rsidRPr="00D4662A">
        <w:rPr>
          <w:rFonts w:ascii="Times New Roman" w:hAnsi="Times New Roman" w:cs="Times New Roman"/>
        </w:rPr>
        <w:t>in der damals grundlegenden Sozialform des Hauses.</w:t>
      </w:r>
      <w:r w:rsidRPr="00D4662A">
        <w:rPr>
          <w:rStyle w:val="Funotenzeichen"/>
          <w:rFonts w:ascii="Times New Roman" w:hAnsi="Times New Roman" w:cs="Times New Roman"/>
        </w:rPr>
        <w:footnoteReference w:id="2"/>
      </w:r>
    </w:p>
    <w:p w:rsidR="009C4608" w:rsidRPr="00ED3F9F" w:rsidRDefault="009C4608" w:rsidP="009C4608">
      <w:pPr>
        <w:jc w:val="both"/>
        <w:rPr>
          <w:rFonts w:ascii="Times New Roman" w:hAnsi="Times New Roman" w:cs="Times New Roman"/>
        </w:rPr>
      </w:pPr>
      <w:r w:rsidRPr="00ED3F9F">
        <w:rPr>
          <w:rFonts w:ascii="Times New Roman" w:hAnsi="Times New Roman" w:cs="Times New Roman"/>
        </w:rPr>
        <w:t xml:space="preserve">Zwei Handlungen erlangten schnell </w:t>
      </w:r>
      <w:r w:rsidR="00ED3F9F">
        <w:rPr>
          <w:rFonts w:ascii="Times New Roman" w:hAnsi="Times New Roman" w:cs="Times New Roman"/>
        </w:rPr>
        <w:t>besondere Bedeutung</w:t>
      </w:r>
      <w:r w:rsidRPr="00ED3F9F">
        <w:rPr>
          <w:rFonts w:ascii="Times New Roman" w:hAnsi="Times New Roman" w:cs="Times New Roman"/>
        </w:rPr>
        <w:t xml:space="preserve">: die Taufe und das gemeinsame Mahl. </w:t>
      </w:r>
    </w:p>
    <w:p w:rsidR="009C4608" w:rsidRPr="00ED3F9F" w:rsidRDefault="009C4608" w:rsidP="009C4608">
      <w:pPr>
        <w:jc w:val="both"/>
        <w:rPr>
          <w:rFonts w:ascii="Times New Roman" w:hAnsi="Times New Roman" w:cs="Times New Roman"/>
        </w:rPr>
      </w:pPr>
      <w:r w:rsidRPr="00ED3F9F">
        <w:rPr>
          <w:rFonts w:ascii="Times New Roman" w:hAnsi="Times New Roman" w:cs="Times New Roman"/>
        </w:rPr>
        <w:t xml:space="preserve">2.2 Schon im 2. Jahrhundert begegnen erste Formen der </w:t>
      </w:r>
      <w:r w:rsidRPr="00ED3F9F">
        <w:rPr>
          <w:rFonts w:ascii="Times New Roman" w:hAnsi="Times New Roman" w:cs="Times New Roman"/>
          <w:i/>
        </w:rPr>
        <w:t>Kontextualisierung</w:t>
      </w:r>
      <w:r w:rsidRPr="00ED3F9F">
        <w:rPr>
          <w:rFonts w:ascii="Times New Roman" w:hAnsi="Times New Roman" w:cs="Times New Roman"/>
        </w:rPr>
        <w:t xml:space="preserve"> der genannten Modi der Kommunikation des Evangeliums sowie der damit verbundenen Sozialformen. Bis zum Ende des vierten Jahrhunderts vollzog sich ein tief greifender Wandel von der Interpretation des jüdischen Glaubens bei Jesus hin zu einem gut organisierten und mächtigen </w:t>
      </w:r>
      <w:proofErr w:type="spellStart"/>
      <w:r w:rsidRPr="00ED3F9F">
        <w:rPr>
          <w:rFonts w:ascii="Times New Roman" w:hAnsi="Times New Roman" w:cs="Times New Roman"/>
        </w:rPr>
        <w:t>Cultus</w:t>
      </w:r>
      <w:proofErr w:type="spellEnd"/>
      <w:r w:rsidRPr="00ED3F9F">
        <w:rPr>
          <w:rFonts w:ascii="Times New Roman" w:hAnsi="Times New Roman" w:cs="Times New Roman"/>
        </w:rPr>
        <w:t xml:space="preserve"> </w:t>
      </w:r>
      <w:proofErr w:type="spellStart"/>
      <w:r w:rsidRPr="00ED3F9F">
        <w:rPr>
          <w:rFonts w:ascii="Times New Roman" w:hAnsi="Times New Roman" w:cs="Times New Roman"/>
        </w:rPr>
        <w:t>publicus</w:t>
      </w:r>
      <w:proofErr w:type="spellEnd"/>
      <w:r w:rsidRPr="00ED3F9F">
        <w:rPr>
          <w:rFonts w:ascii="Times New Roman" w:hAnsi="Times New Roman" w:cs="Times New Roman"/>
        </w:rPr>
        <w:t xml:space="preserve">. </w:t>
      </w:r>
    </w:p>
    <w:p w:rsidR="009C4608" w:rsidRPr="00ED3F9F" w:rsidRDefault="009C4608" w:rsidP="00ED3F9F">
      <w:pPr>
        <w:jc w:val="both"/>
        <w:rPr>
          <w:rFonts w:ascii="Times New Roman" w:hAnsi="Times New Roman" w:cs="Times New Roman"/>
          <w:b/>
        </w:rPr>
      </w:pPr>
      <w:r w:rsidRPr="00ED3F9F">
        <w:rPr>
          <w:rFonts w:ascii="Times New Roman" w:hAnsi="Times New Roman" w:cs="Times New Roman"/>
        </w:rPr>
        <w:t xml:space="preserve">2.3 </w:t>
      </w:r>
      <w:r w:rsidR="00256712">
        <w:rPr>
          <w:rFonts w:ascii="Times New Roman" w:hAnsi="Times New Roman" w:cs="Times New Roman"/>
        </w:rPr>
        <w:t xml:space="preserve">Der Protest </w:t>
      </w:r>
      <w:r w:rsidR="00256712" w:rsidRPr="00ED3F9F">
        <w:rPr>
          <w:rFonts w:ascii="Times New Roman" w:hAnsi="Times New Roman" w:cs="Times New Roman"/>
        </w:rPr>
        <w:t xml:space="preserve">Luthers </w:t>
      </w:r>
      <w:r w:rsidR="00256712">
        <w:rPr>
          <w:rFonts w:ascii="Times New Roman" w:hAnsi="Times New Roman" w:cs="Times New Roman"/>
        </w:rPr>
        <w:t xml:space="preserve">richtete sich gegen die damit verbundene </w:t>
      </w:r>
      <w:r w:rsidRPr="00ED3F9F">
        <w:rPr>
          <w:rFonts w:ascii="Times New Roman" w:hAnsi="Times New Roman" w:cs="Times New Roman"/>
        </w:rPr>
        <w:t>hier</w:t>
      </w:r>
      <w:r w:rsidR="00256712">
        <w:rPr>
          <w:rFonts w:ascii="Times New Roman" w:hAnsi="Times New Roman" w:cs="Times New Roman"/>
        </w:rPr>
        <w:t>archische</w:t>
      </w:r>
      <w:r w:rsidRPr="00ED3F9F">
        <w:rPr>
          <w:rFonts w:ascii="Times New Roman" w:hAnsi="Times New Roman" w:cs="Times New Roman"/>
        </w:rPr>
        <w:t xml:space="preserve"> Struktur von Kir</w:t>
      </w:r>
      <w:r w:rsidR="00256712">
        <w:rPr>
          <w:rFonts w:ascii="Times New Roman" w:hAnsi="Times New Roman" w:cs="Times New Roman"/>
        </w:rPr>
        <w:t>che</w:t>
      </w:r>
      <w:r w:rsidRPr="00ED3F9F">
        <w:rPr>
          <w:rFonts w:ascii="Times New Roman" w:hAnsi="Times New Roman" w:cs="Times New Roman"/>
        </w:rPr>
        <w:t>.</w:t>
      </w:r>
    </w:p>
    <w:p w:rsidR="009C4608" w:rsidRPr="00D4662A" w:rsidRDefault="009C4608" w:rsidP="00D4662A">
      <w:pPr>
        <w:jc w:val="center"/>
        <w:rPr>
          <w:rFonts w:ascii="Times New Roman" w:hAnsi="Times New Roman" w:cs="Times New Roman"/>
          <w:b/>
          <w:sz w:val="24"/>
          <w:szCs w:val="24"/>
        </w:rPr>
      </w:pPr>
      <w:r w:rsidRPr="00D4662A">
        <w:rPr>
          <w:rFonts w:ascii="Times New Roman" w:hAnsi="Times New Roman" w:cs="Times New Roman"/>
          <w:b/>
          <w:sz w:val="24"/>
          <w:szCs w:val="24"/>
        </w:rPr>
        <w:t>3. Heutige Situation Evangelischer Kirche</w:t>
      </w:r>
    </w:p>
    <w:p w:rsidR="009C4608" w:rsidRPr="00ED3F9F" w:rsidRDefault="00724005" w:rsidP="009C4608">
      <w:pPr>
        <w:jc w:val="both"/>
        <w:rPr>
          <w:rFonts w:ascii="Times New Roman" w:hAnsi="Times New Roman" w:cs="Times New Roman"/>
        </w:rPr>
      </w:pPr>
      <w:r>
        <w:rPr>
          <w:rFonts w:ascii="Times New Roman" w:hAnsi="Times New Roman" w:cs="Times New Roman"/>
        </w:rPr>
        <w:t>K</w:t>
      </w:r>
      <w:r w:rsidR="009C4608" w:rsidRPr="00ED3F9F">
        <w:rPr>
          <w:rFonts w:ascii="Times New Roman" w:hAnsi="Times New Roman" w:cs="Times New Roman"/>
        </w:rPr>
        <w:t xml:space="preserve">irchliche Praxis </w:t>
      </w:r>
      <w:r w:rsidR="00256712">
        <w:rPr>
          <w:rFonts w:ascii="Times New Roman" w:hAnsi="Times New Roman" w:cs="Times New Roman"/>
        </w:rPr>
        <w:t xml:space="preserve">ist </w:t>
      </w:r>
      <w:r w:rsidR="009C4608" w:rsidRPr="00ED3F9F">
        <w:rPr>
          <w:rFonts w:ascii="Times New Roman" w:hAnsi="Times New Roman" w:cs="Times New Roman"/>
        </w:rPr>
        <w:t xml:space="preserve">stets </w:t>
      </w:r>
      <w:r w:rsidR="00256712">
        <w:rPr>
          <w:rFonts w:ascii="Times New Roman" w:hAnsi="Times New Roman" w:cs="Times New Roman"/>
        </w:rPr>
        <w:t>nur kontextuell zu verstehen</w:t>
      </w:r>
      <w:r w:rsidR="009C4608" w:rsidRPr="00ED3F9F">
        <w:rPr>
          <w:rFonts w:ascii="Times New Roman" w:hAnsi="Times New Roman" w:cs="Times New Roman"/>
        </w:rPr>
        <w:t>. Dabei bildet der politische, gesellschaftliche und kulturelle Kontext den Rahmen, innerhal</w:t>
      </w:r>
      <w:r w:rsidR="00256712">
        <w:rPr>
          <w:rFonts w:ascii="Times New Roman" w:hAnsi="Times New Roman" w:cs="Times New Roman"/>
        </w:rPr>
        <w:t>b dessen und auf den bezogen der Grundimpuls zu kommunizieren ist, der</w:t>
      </w:r>
      <w:r w:rsidR="009C4608" w:rsidRPr="00ED3F9F">
        <w:rPr>
          <w:rFonts w:ascii="Times New Roman" w:hAnsi="Times New Roman" w:cs="Times New Roman"/>
        </w:rPr>
        <w:t xml:space="preserve"> von Jesu</w:t>
      </w:r>
      <w:r w:rsidR="00256712">
        <w:rPr>
          <w:rFonts w:ascii="Times New Roman" w:hAnsi="Times New Roman" w:cs="Times New Roman"/>
        </w:rPr>
        <w:t>s</w:t>
      </w:r>
      <w:r w:rsidR="009C4608" w:rsidRPr="00ED3F9F">
        <w:rPr>
          <w:rFonts w:ascii="Times New Roman" w:hAnsi="Times New Roman" w:cs="Times New Roman"/>
        </w:rPr>
        <w:t xml:space="preserve"> </w:t>
      </w:r>
      <w:r w:rsidR="00256712">
        <w:rPr>
          <w:rFonts w:ascii="Times New Roman" w:hAnsi="Times New Roman" w:cs="Times New Roman"/>
        </w:rPr>
        <w:t>ausgeht</w:t>
      </w:r>
      <w:r w:rsidR="009C4608" w:rsidRPr="00ED3F9F">
        <w:rPr>
          <w:rFonts w:ascii="Times New Roman" w:hAnsi="Times New Roman" w:cs="Times New Roman"/>
        </w:rPr>
        <w:t xml:space="preserve">. Allerdings zeigt sich, dass dies nur teilweise gelang. Vor allem die Einführung von Exklusionen und die weitgehende Vernachlässigung des Helfens zum Leben als eines konstitutiven Modus der Kommunikation des Evangeliums sind in der </w:t>
      </w:r>
      <w:proofErr w:type="spellStart"/>
      <w:r w:rsidR="009C4608" w:rsidRPr="00ED3F9F">
        <w:rPr>
          <w:rFonts w:ascii="Times New Roman" w:hAnsi="Times New Roman" w:cs="Times New Roman"/>
        </w:rPr>
        <w:t>Christentumsgeschichte</w:t>
      </w:r>
      <w:proofErr w:type="spellEnd"/>
      <w:r w:rsidR="009C4608" w:rsidRPr="00ED3F9F">
        <w:rPr>
          <w:rFonts w:ascii="Times New Roman" w:hAnsi="Times New Roman" w:cs="Times New Roman"/>
        </w:rPr>
        <w:t xml:space="preserve"> unübersehbar und widersprechen dem Auftreten, Wirken und Geschick Jesu. Diese jeweils in bestimmten Kontexten entstandenen Defizite belasten bis heute kirchliche Praxis.</w:t>
      </w:r>
    </w:p>
    <w:p w:rsidR="009C4608" w:rsidRPr="00ED3F9F" w:rsidRDefault="009C4608" w:rsidP="00ED3F9F">
      <w:pPr>
        <w:pStyle w:val="Listenabsatz"/>
        <w:numPr>
          <w:ilvl w:val="0"/>
          <w:numId w:val="3"/>
        </w:numPr>
        <w:jc w:val="center"/>
        <w:rPr>
          <w:rFonts w:ascii="Times New Roman" w:hAnsi="Times New Roman" w:cs="Times New Roman"/>
          <w:b/>
          <w:sz w:val="24"/>
          <w:szCs w:val="24"/>
        </w:rPr>
      </w:pPr>
      <w:r w:rsidRPr="00ED3F9F">
        <w:rPr>
          <w:rFonts w:ascii="Times New Roman" w:hAnsi="Times New Roman" w:cs="Times New Roman"/>
          <w:b/>
          <w:sz w:val="24"/>
          <w:szCs w:val="24"/>
        </w:rPr>
        <w:lastRenderedPageBreak/>
        <w:t>Transformationen</w:t>
      </w:r>
    </w:p>
    <w:p w:rsidR="009C4608" w:rsidRPr="00ED3F9F" w:rsidRDefault="009C4608" w:rsidP="009C4608">
      <w:pPr>
        <w:jc w:val="both"/>
        <w:rPr>
          <w:rFonts w:ascii="Times New Roman" w:hAnsi="Times New Roman" w:cs="Times New Roman"/>
        </w:rPr>
      </w:pPr>
      <w:r w:rsidRPr="00ED3F9F">
        <w:rPr>
          <w:rFonts w:ascii="Times New Roman" w:hAnsi="Times New Roman" w:cs="Times New Roman"/>
        </w:rPr>
        <w:t xml:space="preserve">Im Bereich der </w:t>
      </w:r>
      <w:r w:rsidRPr="00ED3F9F">
        <w:rPr>
          <w:rFonts w:ascii="Times New Roman" w:hAnsi="Times New Roman" w:cs="Times New Roman"/>
          <w:i/>
        </w:rPr>
        <w:t>Lehr- und Lernprozesse</w:t>
      </w:r>
      <w:r w:rsidRPr="00ED3F9F">
        <w:rPr>
          <w:rFonts w:ascii="Times New Roman" w:hAnsi="Times New Roman" w:cs="Times New Roman"/>
        </w:rPr>
        <w:t xml:space="preserve"> </w:t>
      </w:r>
      <w:r w:rsidR="00D4662A" w:rsidRPr="00ED3F9F">
        <w:rPr>
          <w:rFonts w:ascii="Times New Roman" w:hAnsi="Times New Roman" w:cs="Times New Roman"/>
        </w:rPr>
        <w:t>geht die konfessionelle</w:t>
      </w:r>
      <w:r w:rsidRPr="00ED3F9F">
        <w:rPr>
          <w:rFonts w:ascii="Times New Roman" w:hAnsi="Times New Roman" w:cs="Times New Roman"/>
        </w:rPr>
        <w:t xml:space="preserve"> Bindung des schulischen Religionsunterrichts </w:t>
      </w:r>
      <w:r w:rsidR="00D4662A" w:rsidRPr="00ED3F9F">
        <w:rPr>
          <w:rFonts w:ascii="Times New Roman" w:hAnsi="Times New Roman" w:cs="Times New Roman"/>
        </w:rPr>
        <w:t>zurück</w:t>
      </w:r>
      <w:r w:rsidR="00ED3F9F">
        <w:rPr>
          <w:rFonts w:ascii="Times New Roman" w:hAnsi="Times New Roman" w:cs="Times New Roman"/>
        </w:rPr>
        <w:t>,</w:t>
      </w:r>
      <w:r w:rsidR="00D4662A" w:rsidRPr="00ED3F9F">
        <w:rPr>
          <w:rFonts w:ascii="Times New Roman" w:hAnsi="Times New Roman" w:cs="Times New Roman"/>
        </w:rPr>
        <w:t xml:space="preserve"> </w:t>
      </w:r>
      <w:r w:rsidRPr="00ED3F9F">
        <w:rPr>
          <w:rFonts w:ascii="Times New Roman" w:hAnsi="Times New Roman" w:cs="Times New Roman"/>
        </w:rPr>
        <w:t xml:space="preserve">Bemühungen um ökumenische Kooperation </w:t>
      </w:r>
      <w:r w:rsidR="00ED3F9F">
        <w:rPr>
          <w:rFonts w:ascii="Times New Roman" w:hAnsi="Times New Roman" w:cs="Times New Roman"/>
        </w:rPr>
        <w:t xml:space="preserve">reagieren </w:t>
      </w:r>
      <w:r w:rsidR="00D4662A" w:rsidRPr="00ED3F9F">
        <w:rPr>
          <w:rFonts w:ascii="Times New Roman" w:hAnsi="Times New Roman" w:cs="Times New Roman"/>
        </w:rPr>
        <w:t>hierauf</w:t>
      </w:r>
      <w:r w:rsidRPr="00ED3F9F">
        <w:rPr>
          <w:rFonts w:ascii="Times New Roman" w:hAnsi="Times New Roman" w:cs="Times New Roman"/>
        </w:rPr>
        <w:t xml:space="preserve">. Im Bereich der Konfirmandenarbeit </w:t>
      </w:r>
      <w:r w:rsidR="00D4662A" w:rsidRPr="00ED3F9F">
        <w:rPr>
          <w:rFonts w:ascii="Times New Roman" w:hAnsi="Times New Roman" w:cs="Times New Roman"/>
        </w:rPr>
        <w:t xml:space="preserve">begegnen </w:t>
      </w:r>
      <w:r w:rsidR="00724005">
        <w:rPr>
          <w:rFonts w:ascii="Times New Roman" w:hAnsi="Times New Roman" w:cs="Times New Roman"/>
        </w:rPr>
        <w:t xml:space="preserve">– zögerlich – </w:t>
      </w:r>
      <w:r w:rsidRPr="00ED3F9F">
        <w:rPr>
          <w:rFonts w:ascii="Times New Roman" w:hAnsi="Times New Roman" w:cs="Times New Roman"/>
        </w:rPr>
        <w:t xml:space="preserve">Übergänge vom Unterrichtsmodell zu anderen </w:t>
      </w:r>
      <w:r w:rsidR="00ED3F9F">
        <w:rPr>
          <w:rFonts w:ascii="Times New Roman" w:hAnsi="Times New Roman" w:cs="Times New Roman"/>
        </w:rPr>
        <w:t>Organisationsformen</w:t>
      </w:r>
      <w:r w:rsidRPr="00ED3F9F">
        <w:rPr>
          <w:rFonts w:ascii="Times New Roman" w:hAnsi="Times New Roman" w:cs="Times New Roman"/>
        </w:rPr>
        <w:t>.</w:t>
      </w:r>
    </w:p>
    <w:p w:rsidR="00D4662A" w:rsidRPr="00ED3F9F" w:rsidRDefault="009C4608" w:rsidP="009C4608">
      <w:pPr>
        <w:jc w:val="both"/>
        <w:rPr>
          <w:rFonts w:ascii="Times New Roman" w:hAnsi="Times New Roman" w:cs="Times New Roman"/>
        </w:rPr>
      </w:pPr>
      <w:r w:rsidRPr="00ED3F9F">
        <w:rPr>
          <w:rFonts w:ascii="Times New Roman" w:hAnsi="Times New Roman" w:cs="Times New Roman"/>
        </w:rPr>
        <w:t xml:space="preserve">Beim </w:t>
      </w:r>
      <w:r w:rsidRPr="00ED3F9F">
        <w:rPr>
          <w:rFonts w:ascii="Times New Roman" w:hAnsi="Times New Roman" w:cs="Times New Roman"/>
          <w:i/>
        </w:rPr>
        <w:t>gemeinschaftlichen Feiern</w:t>
      </w:r>
      <w:r w:rsidRPr="00ED3F9F">
        <w:rPr>
          <w:rFonts w:ascii="Times New Roman" w:hAnsi="Times New Roman" w:cs="Times New Roman"/>
        </w:rPr>
        <w:t xml:space="preserve"> finden nicht zuletzt bei formal weniger gebildeten Menschen eventförmige Angebote Zuspruch. </w:t>
      </w:r>
      <w:r w:rsidR="00D4662A" w:rsidRPr="00ED3F9F">
        <w:rPr>
          <w:rFonts w:ascii="Times New Roman" w:hAnsi="Times New Roman" w:cs="Times New Roman"/>
        </w:rPr>
        <w:t xml:space="preserve">Einschulung, Schulentlassung und </w:t>
      </w:r>
      <w:proofErr w:type="spellStart"/>
      <w:r w:rsidR="00D4662A" w:rsidRPr="00ED3F9F">
        <w:rPr>
          <w:rFonts w:ascii="Times New Roman" w:hAnsi="Times New Roman" w:cs="Times New Roman"/>
        </w:rPr>
        <w:t>gemeinwesenbezogene</w:t>
      </w:r>
      <w:proofErr w:type="spellEnd"/>
      <w:r w:rsidR="00D4662A" w:rsidRPr="00ED3F9F">
        <w:rPr>
          <w:rFonts w:ascii="Times New Roman" w:hAnsi="Times New Roman" w:cs="Times New Roman"/>
        </w:rPr>
        <w:t xml:space="preserve"> Anlässe mo</w:t>
      </w:r>
      <w:r w:rsidR="00256712">
        <w:rPr>
          <w:rFonts w:ascii="Times New Roman" w:hAnsi="Times New Roman" w:cs="Times New Roman"/>
        </w:rPr>
        <w:t xml:space="preserve">tivieren zu meist ökumenischen bzw. </w:t>
      </w:r>
      <w:r w:rsidR="00D4662A" w:rsidRPr="00ED3F9F">
        <w:rPr>
          <w:rFonts w:ascii="Times New Roman" w:hAnsi="Times New Roman" w:cs="Times New Roman"/>
        </w:rPr>
        <w:t xml:space="preserve">multireligiösen Gottesdiensten. Dazu treten liturgische Formen in elektronischen Medien. </w:t>
      </w:r>
    </w:p>
    <w:p w:rsidR="00D4662A" w:rsidRPr="00ED3F9F" w:rsidRDefault="009C4608" w:rsidP="009C4608">
      <w:pPr>
        <w:jc w:val="both"/>
        <w:rPr>
          <w:rFonts w:ascii="Times New Roman" w:hAnsi="Times New Roman" w:cs="Times New Roman"/>
        </w:rPr>
      </w:pPr>
      <w:r w:rsidRPr="00ED3F9F">
        <w:rPr>
          <w:rFonts w:ascii="Times New Roman" w:hAnsi="Times New Roman" w:cs="Times New Roman"/>
        </w:rPr>
        <w:t xml:space="preserve">Besondere Aufmerksamkeit verdienen Aktivitäten im Sinne des </w:t>
      </w:r>
      <w:r w:rsidR="00D4662A" w:rsidRPr="00ED3F9F">
        <w:rPr>
          <w:rFonts w:ascii="Times New Roman" w:hAnsi="Times New Roman" w:cs="Times New Roman"/>
          <w:i/>
        </w:rPr>
        <w:t>Helfens zum Leben:</w:t>
      </w:r>
      <w:r w:rsidRPr="00ED3F9F">
        <w:rPr>
          <w:rFonts w:ascii="Times New Roman" w:hAnsi="Times New Roman" w:cs="Times New Roman"/>
        </w:rPr>
        <w:t xml:space="preserve"> Notfallseesorge</w:t>
      </w:r>
      <w:r w:rsidR="00D4662A" w:rsidRPr="00ED3F9F">
        <w:rPr>
          <w:rFonts w:ascii="Times New Roman" w:hAnsi="Times New Roman" w:cs="Times New Roman"/>
        </w:rPr>
        <w:t>,</w:t>
      </w:r>
      <w:r w:rsidRPr="00ED3F9F">
        <w:rPr>
          <w:rFonts w:ascii="Times New Roman" w:hAnsi="Times New Roman" w:cs="Times New Roman"/>
        </w:rPr>
        <w:t xml:space="preserve"> Schulseelsorge </w:t>
      </w:r>
      <w:r w:rsidR="00D4662A" w:rsidRPr="00ED3F9F">
        <w:rPr>
          <w:rFonts w:ascii="Times New Roman" w:hAnsi="Times New Roman" w:cs="Times New Roman"/>
        </w:rPr>
        <w:t xml:space="preserve">und Spiritual Care. </w:t>
      </w:r>
      <w:r w:rsidR="00256712">
        <w:rPr>
          <w:rFonts w:ascii="Times New Roman" w:hAnsi="Times New Roman" w:cs="Times New Roman"/>
        </w:rPr>
        <w:t>Hier wird in alltäglichen Situationen das Evangelium kommuniziert.</w:t>
      </w:r>
    </w:p>
    <w:p w:rsidR="00D4662A" w:rsidRPr="00ED3F9F" w:rsidRDefault="00256712" w:rsidP="009C4608">
      <w:pPr>
        <w:jc w:val="both"/>
        <w:rPr>
          <w:rFonts w:ascii="Times New Roman" w:hAnsi="Times New Roman" w:cs="Times New Roman"/>
        </w:rPr>
      </w:pPr>
      <w:r>
        <w:rPr>
          <w:rFonts w:ascii="Times New Roman" w:hAnsi="Times New Roman" w:cs="Times New Roman"/>
        </w:rPr>
        <w:t>Hinsichtlich kirchlicher</w:t>
      </w:r>
      <w:r w:rsidR="009C4608" w:rsidRPr="00ED3F9F">
        <w:rPr>
          <w:rFonts w:ascii="Times New Roman" w:hAnsi="Times New Roman" w:cs="Times New Roman"/>
        </w:rPr>
        <w:t xml:space="preserve"> </w:t>
      </w:r>
      <w:r w:rsidR="009C4608" w:rsidRPr="00ED3F9F">
        <w:rPr>
          <w:rFonts w:ascii="Times New Roman" w:hAnsi="Times New Roman" w:cs="Times New Roman"/>
          <w:i/>
        </w:rPr>
        <w:t>Strukturen</w:t>
      </w:r>
      <w:r w:rsidR="009C4608" w:rsidRPr="00ED3F9F">
        <w:rPr>
          <w:rFonts w:ascii="Times New Roman" w:hAnsi="Times New Roman" w:cs="Times New Roman"/>
        </w:rPr>
        <w:t xml:space="preserve"> lohnt </w:t>
      </w:r>
      <w:r>
        <w:rPr>
          <w:rFonts w:ascii="Times New Roman" w:hAnsi="Times New Roman" w:cs="Times New Roman"/>
        </w:rPr>
        <w:t xml:space="preserve">ein Blick ins Ausland: </w:t>
      </w:r>
      <w:r w:rsidR="009C4608" w:rsidRPr="00ED3F9F">
        <w:rPr>
          <w:rFonts w:ascii="Times New Roman" w:hAnsi="Times New Roman" w:cs="Times New Roman"/>
        </w:rPr>
        <w:t>So öffnet sich die anglikanische Kirche für „</w:t>
      </w:r>
      <w:proofErr w:type="spellStart"/>
      <w:r w:rsidR="009C4608" w:rsidRPr="00ED3F9F">
        <w:rPr>
          <w:rFonts w:ascii="Times New Roman" w:hAnsi="Times New Roman" w:cs="Times New Roman"/>
        </w:rPr>
        <w:t>fresh</w:t>
      </w:r>
      <w:proofErr w:type="spellEnd"/>
      <w:r w:rsidR="009C4608" w:rsidRPr="00ED3F9F">
        <w:rPr>
          <w:rFonts w:ascii="Times New Roman" w:hAnsi="Times New Roman" w:cs="Times New Roman"/>
        </w:rPr>
        <w:t xml:space="preserve"> </w:t>
      </w:r>
      <w:proofErr w:type="spellStart"/>
      <w:r w:rsidR="009C4608" w:rsidRPr="00ED3F9F">
        <w:rPr>
          <w:rFonts w:ascii="Times New Roman" w:hAnsi="Times New Roman" w:cs="Times New Roman"/>
        </w:rPr>
        <w:t>expressions</w:t>
      </w:r>
      <w:proofErr w:type="spellEnd"/>
      <w:r w:rsidR="009C4608" w:rsidRPr="00ED3F9F">
        <w:rPr>
          <w:rFonts w:ascii="Times New Roman" w:hAnsi="Times New Roman" w:cs="Times New Roman"/>
        </w:rPr>
        <w:t xml:space="preserve"> </w:t>
      </w:r>
      <w:proofErr w:type="spellStart"/>
      <w:r w:rsidR="009C4608" w:rsidRPr="00ED3F9F">
        <w:rPr>
          <w:rFonts w:ascii="Times New Roman" w:hAnsi="Times New Roman" w:cs="Times New Roman"/>
        </w:rPr>
        <w:t>of</w:t>
      </w:r>
      <w:proofErr w:type="spellEnd"/>
      <w:r w:rsidR="009C4608" w:rsidRPr="00ED3F9F">
        <w:rPr>
          <w:rFonts w:ascii="Times New Roman" w:hAnsi="Times New Roman" w:cs="Times New Roman"/>
        </w:rPr>
        <w:t xml:space="preserve"> </w:t>
      </w:r>
      <w:proofErr w:type="spellStart"/>
      <w:r w:rsidR="009C4608" w:rsidRPr="00ED3F9F">
        <w:rPr>
          <w:rFonts w:ascii="Times New Roman" w:hAnsi="Times New Roman" w:cs="Times New Roman"/>
        </w:rPr>
        <w:t>church</w:t>
      </w:r>
      <w:proofErr w:type="spellEnd"/>
      <w:r w:rsidR="009C4608" w:rsidRPr="00ED3F9F">
        <w:rPr>
          <w:rFonts w:ascii="Times New Roman" w:hAnsi="Times New Roman" w:cs="Times New Roman"/>
        </w:rPr>
        <w:t xml:space="preserve">“. Die aus den USA stammende und vor allem dort agierende Bewegung der </w:t>
      </w:r>
      <w:proofErr w:type="spellStart"/>
      <w:r w:rsidR="009C4608" w:rsidRPr="00ED3F9F">
        <w:rPr>
          <w:rFonts w:ascii="Times New Roman" w:hAnsi="Times New Roman" w:cs="Times New Roman"/>
        </w:rPr>
        <w:t>Emergents</w:t>
      </w:r>
      <w:proofErr w:type="spellEnd"/>
      <w:r w:rsidR="009C4608" w:rsidRPr="00ED3F9F">
        <w:rPr>
          <w:rFonts w:ascii="Times New Roman" w:hAnsi="Times New Roman" w:cs="Times New Roman"/>
        </w:rPr>
        <w:t xml:space="preserve"> sind ein Beispiel für</w:t>
      </w:r>
      <w:r>
        <w:rPr>
          <w:rFonts w:ascii="Times New Roman" w:hAnsi="Times New Roman" w:cs="Times New Roman"/>
        </w:rPr>
        <w:t xml:space="preserve"> das Modell einer „Wiki-Church“,</w:t>
      </w:r>
      <w:r w:rsidR="009C4608" w:rsidRPr="00ED3F9F">
        <w:rPr>
          <w:rStyle w:val="Funotenzeichen"/>
          <w:rFonts w:ascii="Times New Roman" w:hAnsi="Times New Roman" w:cs="Times New Roman"/>
        </w:rPr>
        <w:footnoteReference w:id="3"/>
      </w:r>
      <w:r>
        <w:rPr>
          <w:rFonts w:ascii="Times New Roman" w:hAnsi="Times New Roman" w:cs="Times New Roman"/>
        </w:rPr>
        <w:t xml:space="preserve"> </w:t>
      </w:r>
      <w:r w:rsidR="009C4608" w:rsidRPr="00ED3F9F">
        <w:rPr>
          <w:rFonts w:ascii="Times New Roman" w:hAnsi="Times New Roman" w:cs="Times New Roman"/>
        </w:rPr>
        <w:t xml:space="preserve"> </w:t>
      </w:r>
    </w:p>
    <w:p w:rsidR="00D4662A" w:rsidRPr="00ED3F9F" w:rsidRDefault="009C4608" w:rsidP="009C4608">
      <w:pPr>
        <w:jc w:val="both"/>
        <w:rPr>
          <w:rFonts w:ascii="Times New Roman" w:hAnsi="Times New Roman" w:cs="Times New Roman"/>
        </w:rPr>
      </w:pPr>
      <w:r w:rsidRPr="00ED3F9F">
        <w:rPr>
          <w:rFonts w:ascii="Times New Roman" w:hAnsi="Times New Roman" w:cs="Times New Roman"/>
        </w:rPr>
        <w:t xml:space="preserve">In der </w:t>
      </w:r>
      <w:r w:rsidRPr="00ED3F9F">
        <w:rPr>
          <w:rFonts w:ascii="Times New Roman" w:hAnsi="Times New Roman" w:cs="Times New Roman"/>
          <w:i/>
        </w:rPr>
        <w:t>Taufpraxis</w:t>
      </w:r>
      <w:r w:rsidRPr="00ED3F9F">
        <w:rPr>
          <w:rFonts w:ascii="Times New Roman" w:hAnsi="Times New Roman" w:cs="Times New Roman"/>
        </w:rPr>
        <w:t xml:space="preserve"> enthält der Wandel im Taufalter neue Herausforderungen und eröffnet zugleich neue Möglichkeiten, die noch kaum wahrgenommen werden. Beim </w:t>
      </w:r>
      <w:r w:rsidRPr="00ED3F9F">
        <w:rPr>
          <w:rFonts w:ascii="Times New Roman" w:hAnsi="Times New Roman" w:cs="Times New Roman"/>
          <w:i/>
        </w:rPr>
        <w:t>Abendmahl</w:t>
      </w:r>
      <w:r w:rsidRPr="00ED3F9F">
        <w:rPr>
          <w:rFonts w:ascii="Times New Roman" w:hAnsi="Times New Roman" w:cs="Times New Roman"/>
        </w:rPr>
        <w:t xml:space="preserve"> dürfte das Bemühen weiterführen, die diakonische Dimension wiederzugewinnen. Ausblick: Kirche als Assistenz-System</w:t>
      </w:r>
    </w:p>
    <w:p w:rsidR="00D4662A" w:rsidRPr="00ED3F9F" w:rsidRDefault="00D4662A" w:rsidP="00ED3F9F">
      <w:pPr>
        <w:pStyle w:val="Listenabsatz"/>
        <w:numPr>
          <w:ilvl w:val="0"/>
          <w:numId w:val="3"/>
        </w:numPr>
        <w:jc w:val="center"/>
        <w:rPr>
          <w:rFonts w:ascii="Times New Roman" w:hAnsi="Times New Roman" w:cs="Times New Roman"/>
          <w:b/>
          <w:sz w:val="24"/>
          <w:szCs w:val="24"/>
        </w:rPr>
      </w:pPr>
      <w:r w:rsidRPr="00ED3F9F">
        <w:rPr>
          <w:rFonts w:ascii="Times New Roman" w:hAnsi="Times New Roman" w:cs="Times New Roman"/>
          <w:b/>
          <w:sz w:val="24"/>
          <w:szCs w:val="24"/>
        </w:rPr>
        <w:t>Ausblick</w:t>
      </w:r>
    </w:p>
    <w:p w:rsidR="009C4608" w:rsidRPr="00ED3F9F" w:rsidRDefault="009C4608" w:rsidP="00ED3F9F">
      <w:pPr>
        <w:jc w:val="both"/>
        <w:rPr>
          <w:rFonts w:ascii="Times New Roman" w:hAnsi="Times New Roman" w:cs="Times New Roman"/>
        </w:rPr>
      </w:pPr>
      <w:r w:rsidRPr="00ED3F9F">
        <w:rPr>
          <w:rFonts w:ascii="Times New Roman" w:hAnsi="Times New Roman" w:cs="Times New Roman"/>
        </w:rPr>
        <w:t xml:space="preserve">Vom Grundimpuls des Christentums her sind </w:t>
      </w:r>
      <w:r w:rsidRPr="00ED1B43">
        <w:rPr>
          <w:rFonts w:ascii="Times New Roman" w:hAnsi="Times New Roman" w:cs="Times New Roman"/>
          <w:i/>
        </w:rPr>
        <w:t>der enge Anschluss an die allgemeine Lebenswelt, die grundsätzliche Offenheit für alle Menschen jenseits sonst üblicher Exklusionen sowie die den ganzen Menschen umfassende Zuwendung</w:t>
      </w:r>
      <w:r w:rsidRPr="00ED3F9F">
        <w:rPr>
          <w:rFonts w:ascii="Times New Roman" w:hAnsi="Times New Roman" w:cs="Times New Roman"/>
        </w:rPr>
        <w:t xml:space="preserve"> charakteristisch. Es geht also bei der Kommunikation des Evangeliums nicht primär um die Erstellung oder Stabilisierung einer eigenen Sozialform</w:t>
      </w:r>
      <w:r w:rsidR="00724005">
        <w:rPr>
          <w:rFonts w:ascii="Times New Roman" w:hAnsi="Times New Roman" w:cs="Times New Roman"/>
        </w:rPr>
        <w:t xml:space="preserve">, </w:t>
      </w:r>
      <w:proofErr w:type="spellStart"/>
      <w:r w:rsidR="00724005">
        <w:rPr>
          <w:rFonts w:ascii="Times New Roman" w:hAnsi="Times New Roman" w:cs="Times New Roman"/>
        </w:rPr>
        <w:t>sonern</w:t>
      </w:r>
      <w:proofErr w:type="spellEnd"/>
      <w:r w:rsidR="00724005">
        <w:rPr>
          <w:rFonts w:ascii="Times New Roman" w:hAnsi="Times New Roman" w:cs="Times New Roman"/>
        </w:rPr>
        <w:t xml:space="preserve"> um die Förderung von Menschen</w:t>
      </w:r>
      <w:r w:rsidRPr="00ED3F9F">
        <w:rPr>
          <w:rFonts w:ascii="Times New Roman" w:hAnsi="Times New Roman" w:cs="Times New Roman"/>
        </w:rPr>
        <w:t xml:space="preserve">. </w:t>
      </w:r>
    </w:p>
    <w:p w:rsidR="00ED3F9F" w:rsidRDefault="009C4608" w:rsidP="00ED3F9F">
      <w:pPr>
        <w:jc w:val="both"/>
        <w:rPr>
          <w:rFonts w:ascii="Times New Roman" w:hAnsi="Times New Roman" w:cs="Times New Roman"/>
          <w:sz w:val="20"/>
          <w:szCs w:val="20"/>
        </w:rPr>
      </w:pPr>
      <w:r w:rsidRPr="00ED3F9F">
        <w:rPr>
          <w:rFonts w:ascii="Times New Roman" w:hAnsi="Times New Roman" w:cs="Times New Roman"/>
          <w:sz w:val="20"/>
          <w:szCs w:val="20"/>
        </w:rPr>
        <w:t xml:space="preserve">„Der Geschichte der evangelischen Theologie und Kirche im 19. Jahrhundert haftet die Eigentümlichkeit an, </w:t>
      </w:r>
      <w:proofErr w:type="spellStart"/>
      <w:r w:rsidRPr="00ED3F9F">
        <w:rPr>
          <w:rFonts w:ascii="Times New Roman" w:hAnsi="Times New Roman" w:cs="Times New Roman"/>
          <w:sz w:val="20"/>
          <w:szCs w:val="20"/>
        </w:rPr>
        <w:t>daß</w:t>
      </w:r>
      <w:proofErr w:type="spellEnd"/>
      <w:r w:rsidRPr="00ED3F9F">
        <w:rPr>
          <w:rFonts w:ascii="Times New Roman" w:hAnsi="Times New Roman" w:cs="Times New Roman"/>
          <w:sz w:val="20"/>
          <w:szCs w:val="20"/>
        </w:rPr>
        <w:t xml:space="preserve"> in einem Maße, welches keinem früheren Zeitalter, auch nicht dem der Reformation, bekannt ist, die Kirche selber, ihr Wesen, ihre Aufgabe, ihre Gestalt und Ordnung, ihr Verhältnis zum Staat und zum allgemeinen Leben überhaupt, der Gegenstand, wo nicht gar Mittelpunkt theologischen und kirchlichen Urteilens und Handelns wird. Langsam läuft die Bewegung in dieser Richtung an, um sich dann mehr und mehr zu steigern und im 20. Jahrhundert vielfach zu der merkwürdigen Erscheinung einer Kirche zu führen, die dadurch Gott und Christus am besten zu dienen meint, </w:t>
      </w:r>
      <w:proofErr w:type="spellStart"/>
      <w:r w:rsidRPr="00ED3F9F">
        <w:rPr>
          <w:rFonts w:ascii="Times New Roman" w:hAnsi="Times New Roman" w:cs="Times New Roman"/>
          <w:sz w:val="20"/>
          <w:szCs w:val="20"/>
        </w:rPr>
        <w:t>daß</w:t>
      </w:r>
      <w:proofErr w:type="spellEnd"/>
      <w:r w:rsidRPr="00ED3F9F">
        <w:rPr>
          <w:rFonts w:ascii="Times New Roman" w:hAnsi="Times New Roman" w:cs="Times New Roman"/>
          <w:sz w:val="20"/>
          <w:szCs w:val="20"/>
        </w:rPr>
        <w:t xml:space="preserve"> sie von sich selber, ihrer Hoheit, ihrer Vollmacht lehrt und sich selber – in jedem Sinne des Worts – erbaut und Gott für sich selber dankt und preist.“</w:t>
      </w:r>
      <w:r w:rsidRPr="00ED3F9F">
        <w:rPr>
          <w:rStyle w:val="Funotenzeichen"/>
          <w:rFonts w:ascii="Times New Roman" w:hAnsi="Times New Roman" w:cs="Times New Roman"/>
          <w:sz w:val="20"/>
          <w:szCs w:val="20"/>
        </w:rPr>
        <w:footnoteReference w:id="4"/>
      </w:r>
      <w:r w:rsidRPr="00ED3F9F">
        <w:rPr>
          <w:rFonts w:ascii="Times New Roman" w:hAnsi="Times New Roman" w:cs="Times New Roman"/>
          <w:sz w:val="20"/>
          <w:szCs w:val="20"/>
        </w:rPr>
        <w:t xml:space="preserve">  </w:t>
      </w:r>
    </w:p>
    <w:p w:rsidR="00D4662A" w:rsidRPr="00ED3F9F" w:rsidRDefault="00D4662A" w:rsidP="00ED3F9F">
      <w:pPr>
        <w:jc w:val="both"/>
        <w:rPr>
          <w:rFonts w:ascii="Times New Roman" w:hAnsi="Times New Roman" w:cs="Times New Roman"/>
          <w:sz w:val="20"/>
          <w:szCs w:val="20"/>
        </w:rPr>
      </w:pPr>
      <w:r w:rsidRPr="00ED3F9F">
        <w:rPr>
          <w:rFonts w:ascii="Times New Roman" w:hAnsi="Times New Roman" w:cs="Times New Roman"/>
        </w:rPr>
        <w:t xml:space="preserve">Einer solchen </w:t>
      </w:r>
      <w:r w:rsidR="009C4608" w:rsidRPr="00ED3F9F">
        <w:rPr>
          <w:rFonts w:ascii="Times New Roman" w:hAnsi="Times New Roman" w:cs="Times New Roman"/>
        </w:rPr>
        <w:t xml:space="preserve">Hochschätzung von verfasster Kirche stehen tief greifende </w:t>
      </w:r>
      <w:r w:rsidR="009C4608" w:rsidRPr="00ED3F9F">
        <w:rPr>
          <w:rFonts w:ascii="Times New Roman" w:hAnsi="Times New Roman" w:cs="Times New Roman"/>
          <w:i/>
        </w:rPr>
        <w:t>Veränderungen in der Kommunikationskultur</w:t>
      </w:r>
      <w:r w:rsidRPr="00ED3F9F">
        <w:rPr>
          <w:rFonts w:ascii="Times New Roman" w:hAnsi="Times New Roman" w:cs="Times New Roman"/>
        </w:rPr>
        <w:t xml:space="preserve"> entgegen</w:t>
      </w:r>
      <w:r w:rsidR="009C4608" w:rsidRPr="00ED3F9F">
        <w:rPr>
          <w:rFonts w:ascii="Times New Roman" w:hAnsi="Times New Roman" w:cs="Times New Roman"/>
        </w:rPr>
        <w:t xml:space="preserve"> Kommunikationen </w:t>
      </w:r>
      <w:r w:rsidRPr="00ED3F9F">
        <w:rPr>
          <w:rFonts w:ascii="Times New Roman" w:hAnsi="Times New Roman" w:cs="Times New Roman"/>
        </w:rPr>
        <w:t xml:space="preserve">im Bereich der Daseins- und Wertorientierung </w:t>
      </w:r>
      <w:r w:rsidR="009C4608" w:rsidRPr="00ED3F9F">
        <w:rPr>
          <w:rFonts w:ascii="Times New Roman" w:hAnsi="Times New Roman" w:cs="Times New Roman"/>
        </w:rPr>
        <w:t xml:space="preserve">vollziehen sich nicht mehr – wie lange Zeit – im Modus der Autorität, sondern in dem der </w:t>
      </w:r>
      <w:r w:rsidR="009C4608" w:rsidRPr="00ED3F9F">
        <w:rPr>
          <w:rFonts w:ascii="Times New Roman" w:hAnsi="Times New Roman" w:cs="Times New Roman"/>
          <w:i/>
        </w:rPr>
        <w:t>Authentizität.</w:t>
      </w:r>
      <w:r w:rsidR="009C4608" w:rsidRPr="00ED3F9F">
        <w:rPr>
          <w:rStyle w:val="Funotenzeichen"/>
          <w:rFonts w:ascii="Times New Roman" w:hAnsi="Times New Roman" w:cs="Times New Roman"/>
          <w:i/>
        </w:rPr>
        <w:footnoteReference w:id="5"/>
      </w:r>
      <w:r w:rsidR="009C4608" w:rsidRPr="00ED3F9F">
        <w:rPr>
          <w:rFonts w:ascii="Times New Roman" w:hAnsi="Times New Roman" w:cs="Times New Roman"/>
        </w:rPr>
        <w:t xml:space="preserve"> </w:t>
      </w:r>
    </w:p>
    <w:p w:rsidR="009C4608" w:rsidRPr="00256712" w:rsidRDefault="009C4608" w:rsidP="009C4608">
      <w:pPr>
        <w:jc w:val="both"/>
        <w:rPr>
          <w:rFonts w:ascii="Times New Roman" w:hAnsi="Times New Roman" w:cs="Times New Roman"/>
        </w:rPr>
      </w:pPr>
      <w:r w:rsidRPr="00ED3F9F">
        <w:rPr>
          <w:rFonts w:ascii="Times New Roman" w:hAnsi="Times New Roman" w:cs="Times New Roman"/>
        </w:rPr>
        <w:t>Auf der organisatorischen Seite gilt es demnach heute, Kirche inmitten und in Bezug auf andere Sozialformen, in denen das Evangelium kommuniziert wird, zu profilieren.</w:t>
      </w:r>
      <w:r w:rsidRPr="00ED3F9F">
        <w:rPr>
          <w:rStyle w:val="Funotenzeichen"/>
          <w:rFonts w:ascii="Times New Roman" w:hAnsi="Times New Roman" w:cs="Times New Roman"/>
        </w:rPr>
        <w:footnoteReference w:id="6"/>
      </w:r>
      <w:r w:rsidRPr="00ED3F9F">
        <w:rPr>
          <w:rFonts w:ascii="Times New Roman" w:hAnsi="Times New Roman" w:cs="Times New Roman"/>
        </w:rPr>
        <w:t xml:space="preserve"> Sie fungiert dann wesentlich als ein </w:t>
      </w:r>
      <w:r w:rsidRPr="00ED3F9F">
        <w:rPr>
          <w:rFonts w:ascii="Times New Roman" w:hAnsi="Times New Roman" w:cs="Times New Roman"/>
          <w:i/>
        </w:rPr>
        <w:t>Assistenzsystem</w:t>
      </w:r>
      <w:r w:rsidRPr="00ED3F9F">
        <w:rPr>
          <w:rFonts w:ascii="Times New Roman" w:hAnsi="Times New Roman" w:cs="Times New Roman"/>
        </w:rPr>
        <w:t xml:space="preserve"> für andere lebensweltlich gegebene Sozialformen wie Familie, Schule oder die Medien sowie diakonische bzw. caritative Organisationen. </w:t>
      </w:r>
      <w:r w:rsidR="00ED1B43">
        <w:rPr>
          <w:rFonts w:ascii="Times New Roman" w:hAnsi="Times New Roman" w:cs="Times New Roman"/>
        </w:rPr>
        <w:t>Das gilt ebenso für den sonstigen öffentlichen Bereich.</w:t>
      </w:r>
      <w:r w:rsidR="00ED1B43">
        <w:rPr>
          <w:rFonts w:ascii="Times New Roman" w:hAnsi="Times New Roman" w:cs="Times New Roman"/>
        </w:rPr>
        <w:tab/>
      </w:r>
      <w:r w:rsidR="00ED1B43">
        <w:rPr>
          <w:rFonts w:ascii="Times New Roman" w:hAnsi="Times New Roman" w:cs="Times New Roman"/>
        </w:rPr>
        <w:tab/>
      </w:r>
      <w:r w:rsidR="00ED1B43">
        <w:rPr>
          <w:rFonts w:ascii="Times New Roman" w:hAnsi="Times New Roman" w:cs="Times New Roman"/>
        </w:rPr>
        <w:tab/>
      </w:r>
      <w:r w:rsidR="00ED1B43">
        <w:rPr>
          <w:rFonts w:ascii="Times New Roman" w:hAnsi="Times New Roman" w:cs="Times New Roman"/>
        </w:rPr>
        <w:tab/>
      </w:r>
      <w:r w:rsidR="00ED1B43">
        <w:rPr>
          <w:rFonts w:ascii="Times New Roman" w:hAnsi="Times New Roman" w:cs="Times New Roman"/>
        </w:rPr>
        <w:tab/>
      </w:r>
      <w:r w:rsidR="00ED1B43">
        <w:rPr>
          <w:rFonts w:ascii="Times New Roman" w:hAnsi="Times New Roman" w:cs="Times New Roman"/>
        </w:rPr>
        <w:tab/>
      </w:r>
      <w:r w:rsidR="00ED1B43">
        <w:rPr>
          <w:rFonts w:ascii="Times New Roman" w:hAnsi="Times New Roman" w:cs="Times New Roman"/>
        </w:rPr>
        <w:tab/>
        <w:t xml:space="preserve">     </w:t>
      </w:r>
      <w:r>
        <w:rPr>
          <w:rFonts w:ascii="Times New Roman" w:hAnsi="Times New Roman" w:cs="Times New Roman"/>
          <w:sz w:val="20"/>
          <w:szCs w:val="20"/>
        </w:rPr>
        <w:t>Christian Grethlein</w:t>
      </w:r>
    </w:p>
    <w:p w:rsidR="009C4608" w:rsidRDefault="009C4608" w:rsidP="009C4608">
      <w:pPr>
        <w:pStyle w:val="Listenabsatz"/>
        <w:ind w:left="540"/>
        <w:rPr>
          <w:rFonts w:ascii="Times New Roman" w:hAnsi="Times New Roman" w:cs="Times New Roman"/>
          <w:sz w:val="24"/>
          <w:szCs w:val="24"/>
        </w:rPr>
      </w:pPr>
      <w:bookmarkStart w:id="0" w:name="_GoBack"/>
      <w:bookmarkEnd w:id="0"/>
    </w:p>
    <w:p w:rsidR="009C4608" w:rsidRDefault="009C4608" w:rsidP="009C4608">
      <w:pPr>
        <w:jc w:val="both"/>
        <w:rPr>
          <w:sz w:val="24"/>
          <w:szCs w:val="24"/>
        </w:rPr>
      </w:pPr>
    </w:p>
    <w:p w:rsidR="009C4608" w:rsidRDefault="009C4608" w:rsidP="009C4608">
      <w:pPr>
        <w:jc w:val="both"/>
        <w:rPr>
          <w:sz w:val="24"/>
          <w:szCs w:val="24"/>
        </w:rPr>
      </w:pPr>
      <w:r>
        <w:rPr>
          <w:sz w:val="24"/>
          <w:szCs w:val="24"/>
        </w:rPr>
        <w:t xml:space="preserve">  </w:t>
      </w:r>
    </w:p>
    <w:p w:rsidR="009C4608" w:rsidRDefault="009C4608" w:rsidP="009C4608">
      <w:pPr>
        <w:jc w:val="both"/>
        <w:rPr>
          <w:sz w:val="24"/>
          <w:szCs w:val="24"/>
        </w:rPr>
      </w:pPr>
    </w:p>
    <w:p w:rsidR="00AB1582" w:rsidRDefault="00AB1582"/>
    <w:sectPr w:rsidR="00AB15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AD" w:rsidRDefault="00E260AD" w:rsidP="009C4608">
      <w:pPr>
        <w:spacing w:after="0" w:line="240" w:lineRule="auto"/>
      </w:pPr>
      <w:r>
        <w:separator/>
      </w:r>
    </w:p>
  </w:endnote>
  <w:endnote w:type="continuationSeparator" w:id="0">
    <w:p w:rsidR="00E260AD" w:rsidRDefault="00E260AD" w:rsidP="009C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AD" w:rsidRDefault="00E260AD" w:rsidP="009C4608">
      <w:pPr>
        <w:spacing w:after="0" w:line="240" w:lineRule="auto"/>
      </w:pPr>
      <w:r>
        <w:separator/>
      </w:r>
    </w:p>
  </w:footnote>
  <w:footnote w:type="continuationSeparator" w:id="0">
    <w:p w:rsidR="00E260AD" w:rsidRDefault="00E260AD" w:rsidP="009C4608">
      <w:pPr>
        <w:spacing w:after="0" w:line="240" w:lineRule="auto"/>
      </w:pPr>
      <w:r>
        <w:continuationSeparator/>
      </w:r>
    </w:p>
  </w:footnote>
  <w:footnote w:id="1">
    <w:p w:rsidR="009C4608" w:rsidRDefault="009C4608" w:rsidP="009C4608">
      <w:pPr>
        <w:pStyle w:val="Funotentext"/>
        <w:rPr>
          <w:rFonts w:ascii="Times New Roman" w:hAnsi="Times New Roman" w:cs="Times New Roman"/>
        </w:rPr>
      </w:pPr>
      <w:r>
        <w:rPr>
          <w:rStyle w:val="Funotenzeichen"/>
          <w:rFonts w:ascii="Times New Roman" w:hAnsi="Times New Roman" w:cs="Times New Roman"/>
        </w:rPr>
        <w:footnoteRef/>
      </w:r>
      <w:r>
        <w:rPr>
          <w:rFonts w:ascii="Times New Roman" w:hAnsi="Times New Roman" w:cs="Times New Roman"/>
        </w:rPr>
        <w:t xml:space="preserve"> S. ausführlicher Christian Grethlein, Praktische Theologie, Berlin 2012, 253-323.</w:t>
      </w:r>
    </w:p>
  </w:footnote>
  <w:footnote w:id="2">
    <w:p w:rsidR="009C4608" w:rsidRDefault="009C4608" w:rsidP="009C4608">
      <w:pPr>
        <w:pStyle w:val="Funotentext"/>
        <w:rPr>
          <w:rFonts w:ascii="Times New Roman" w:hAnsi="Times New Roman" w:cs="Times New Roman"/>
        </w:rPr>
      </w:pPr>
      <w:r>
        <w:rPr>
          <w:rStyle w:val="Funotenzeichen"/>
          <w:rFonts w:ascii="Times New Roman" w:hAnsi="Times New Roman" w:cs="Times New Roman"/>
        </w:rPr>
        <w:footnoteRef/>
      </w:r>
      <w:r>
        <w:rPr>
          <w:rFonts w:ascii="Times New Roman" w:hAnsi="Times New Roman" w:cs="Times New Roman"/>
        </w:rPr>
        <w:t xml:space="preserve"> S. Hans-Joachim Eckstein, Gottesdienst im Neuen Testament, in: </w:t>
      </w:r>
      <w:proofErr w:type="spellStart"/>
      <w:r>
        <w:rPr>
          <w:rFonts w:ascii="Times New Roman" w:hAnsi="Times New Roman" w:cs="Times New Roman"/>
        </w:rPr>
        <w:t>Ders</w:t>
      </w:r>
      <w:proofErr w:type="spellEnd"/>
      <w:r>
        <w:rPr>
          <w:rFonts w:ascii="Times New Roman" w:hAnsi="Times New Roman" w:cs="Times New Roman"/>
        </w:rPr>
        <w:t xml:space="preserve">./Ulrich Heckel/Birgit </w:t>
      </w:r>
      <w:proofErr w:type="spellStart"/>
      <w:r>
        <w:rPr>
          <w:rFonts w:ascii="Times New Roman" w:hAnsi="Times New Roman" w:cs="Times New Roman"/>
        </w:rPr>
        <w:t>Weyel</w:t>
      </w:r>
      <w:proofErr w:type="spellEnd"/>
      <w:r>
        <w:rPr>
          <w:rFonts w:ascii="Times New Roman" w:hAnsi="Times New Roman" w:cs="Times New Roman"/>
        </w:rPr>
        <w:t xml:space="preserve"> (</w:t>
      </w:r>
      <w:proofErr w:type="spellStart"/>
      <w:r>
        <w:rPr>
          <w:rFonts w:ascii="Times New Roman" w:hAnsi="Times New Roman" w:cs="Times New Roman"/>
        </w:rPr>
        <w:t>Hg</w:t>
      </w:r>
      <w:proofErr w:type="spellEnd"/>
      <w:r>
        <w:rPr>
          <w:rFonts w:ascii="Times New Roman" w:hAnsi="Times New Roman" w:cs="Times New Roman"/>
        </w:rPr>
        <w:t>.), Kompendium Gottesdienst, Tübingen 2011, 22-41, 40.</w:t>
      </w:r>
    </w:p>
  </w:footnote>
  <w:footnote w:id="3">
    <w:p w:rsidR="009C4608" w:rsidRDefault="009C4608" w:rsidP="009C4608">
      <w:pPr>
        <w:pStyle w:val="Funotentext"/>
        <w:rPr>
          <w:rFonts w:ascii="Times New Roman" w:hAnsi="Times New Roman" w:cs="Times New Roman"/>
          <w:lang w:val="en-US"/>
        </w:rPr>
      </w:pPr>
      <w:r>
        <w:rPr>
          <w:rStyle w:val="Funotenzeichen"/>
          <w:rFonts w:ascii="Times New Roman" w:hAnsi="Times New Roman" w:cs="Times New Roman"/>
        </w:rPr>
        <w:footnoteRef/>
      </w:r>
      <w:r>
        <w:rPr>
          <w:rFonts w:ascii="Times New Roman" w:hAnsi="Times New Roman" w:cs="Times New Roman"/>
          <w:lang w:val="en-US"/>
        </w:rPr>
        <w:t xml:space="preserve"> S. Tony Jones,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New Christians. Dispatches from the Emergent Frontier, San Francisco 2008, 180-192.</w:t>
      </w:r>
    </w:p>
  </w:footnote>
  <w:footnote w:id="4">
    <w:p w:rsidR="009C4608" w:rsidRDefault="009C4608" w:rsidP="009C4608">
      <w:pPr>
        <w:pStyle w:val="Funotentext"/>
        <w:rPr>
          <w:rFonts w:ascii="Times New Roman" w:hAnsi="Times New Roman" w:cs="Times New Roman"/>
        </w:rPr>
      </w:pPr>
      <w:r>
        <w:rPr>
          <w:rStyle w:val="Funotenzeichen"/>
          <w:rFonts w:ascii="Times New Roman" w:hAnsi="Times New Roman" w:cs="Times New Roman"/>
        </w:rPr>
        <w:footnoteRef/>
      </w:r>
      <w:r>
        <w:rPr>
          <w:rFonts w:ascii="Times New Roman" w:hAnsi="Times New Roman" w:cs="Times New Roman"/>
        </w:rPr>
        <w:t xml:space="preserve"> Emanuel Hirsch, Geschichte der neuern evangelischen Theologie Bd. 5, Münster 1984 (Gütersloh ³1964), 145.</w:t>
      </w:r>
    </w:p>
  </w:footnote>
  <w:footnote w:id="5">
    <w:p w:rsidR="009C4608" w:rsidRDefault="009C4608" w:rsidP="009C4608">
      <w:pPr>
        <w:pStyle w:val="Funotentext"/>
        <w:rPr>
          <w:rFonts w:ascii="Times New Roman" w:hAnsi="Times New Roman" w:cs="Times New Roman"/>
        </w:rPr>
      </w:pPr>
      <w:r>
        <w:rPr>
          <w:rStyle w:val="Funotenzeichen"/>
          <w:rFonts w:ascii="Times New Roman" w:hAnsi="Times New Roman" w:cs="Times New Roman"/>
        </w:rPr>
        <w:footnoteRef/>
      </w:r>
      <w:r>
        <w:rPr>
          <w:rFonts w:ascii="Times New Roman" w:hAnsi="Times New Roman" w:cs="Times New Roman"/>
        </w:rPr>
        <w:t xml:space="preserve"> S. Armin </w:t>
      </w:r>
      <w:proofErr w:type="spellStart"/>
      <w:r>
        <w:rPr>
          <w:rFonts w:ascii="Times New Roman" w:hAnsi="Times New Roman" w:cs="Times New Roman"/>
        </w:rPr>
        <w:t>Nassehi</w:t>
      </w:r>
      <w:proofErr w:type="spellEnd"/>
      <w:r>
        <w:rPr>
          <w:rFonts w:ascii="Times New Roman" w:hAnsi="Times New Roman" w:cs="Times New Roman"/>
        </w:rPr>
        <w:t>, Religiöse Kommunikation: Religionssoziologische Konsequenzen einer qualitativen Untersuchung, in: Bertelsmann Stiftung (</w:t>
      </w:r>
      <w:proofErr w:type="spellStart"/>
      <w:r>
        <w:rPr>
          <w:rFonts w:ascii="Times New Roman" w:hAnsi="Times New Roman" w:cs="Times New Roman"/>
        </w:rPr>
        <w:t>Hg</w:t>
      </w:r>
      <w:proofErr w:type="spellEnd"/>
      <w:r>
        <w:rPr>
          <w:rFonts w:ascii="Times New Roman" w:hAnsi="Times New Roman" w:cs="Times New Roman"/>
        </w:rPr>
        <w:t>.), Woran glaubt die Welt? Analysen und Kommentare zum Religionsmonitor 2008, Gütersloh 2009, 169-203, 188-190.</w:t>
      </w:r>
    </w:p>
  </w:footnote>
  <w:footnote w:id="6">
    <w:p w:rsidR="009C4608" w:rsidRDefault="009C4608" w:rsidP="009C4608">
      <w:pPr>
        <w:pStyle w:val="Funotentext"/>
        <w:rPr>
          <w:rFonts w:ascii="Times New Roman" w:hAnsi="Times New Roman" w:cs="Times New Roman"/>
        </w:rPr>
      </w:pPr>
      <w:r>
        <w:rPr>
          <w:rStyle w:val="Funotenzeichen"/>
          <w:rFonts w:ascii="Times New Roman" w:hAnsi="Times New Roman" w:cs="Times New Roman"/>
        </w:rPr>
        <w:footnoteRef/>
      </w:r>
      <w:r>
        <w:rPr>
          <w:rFonts w:ascii="Times New Roman" w:hAnsi="Times New Roman" w:cs="Times New Roman"/>
        </w:rPr>
        <w:t xml:space="preserve"> Vgl. auch die differenzierten Bestimmungen von Auftrag und Aufgabe von Kirche in Eberhard </w:t>
      </w:r>
      <w:proofErr w:type="spellStart"/>
      <w:r>
        <w:rPr>
          <w:rFonts w:ascii="Times New Roman" w:hAnsi="Times New Roman" w:cs="Times New Roman"/>
        </w:rPr>
        <w:t>Hauschildt</w:t>
      </w:r>
      <w:proofErr w:type="spellEnd"/>
      <w:r>
        <w:rPr>
          <w:rFonts w:ascii="Times New Roman" w:hAnsi="Times New Roman" w:cs="Times New Roman"/>
        </w:rPr>
        <w:t>/Uta Pohl-</w:t>
      </w:r>
      <w:proofErr w:type="spellStart"/>
      <w:r>
        <w:rPr>
          <w:rFonts w:ascii="Times New Roman" w:hAnsi="Times New Roman" w:cs="Times New Roman"/>
        </w:rPr>
        <w:t>Patalong</w:t>
      </w:r>
      <w:proofErr w:type="spellEnd"/>
      <w:r>
        <w:rPr>
          <w:rFonts w:ascii="Times New Roman" w:hAnsi="Times New Roman" w:cs="Times New Roman"/>
        </w:rPr>
        <w:t>, Kirche (Lehrbuch Praktische Theologie 4), Gütersloh 2013, 409-438.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90263"/>
    <w:multiLevelType w:val="hybridMultilevel"/>
    <w:tmpl w:val="2CF8803C"/>
    <w:lvl w:ilvl="0" w:tplc="ED5C74AA">
      <w:start w:val="4"/>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2D9E50B2"/>
    <w:multiLevelType w:val="hybridMultilevel"/>
    <w:tmpl w:val="F362B528"/>
    <w:lvl w:ilvl="0" w:tplc="FBC08CCC">
      <w:start w:val="2"/>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40D2762A"/>
    <w:multiLevelType w:val="hybridMultilevel"/>
    <w:tmpl w:val="B6BCE0E2"/>
    <w:lvl w:ilvl="0" w:tplc="06B45FDA">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08"/>
    <w:rsid w:val="001A6ABC"/>
    <w:rsid w:val="00256712"/>
    <w:rsid w:val="00724005"/>
    <w:rsid w:val="009C4608"/>
    <w:rsid w:val="00AB1582"/>
    <w:rsid w:val="00D4662A"/>
    <w:rsid w:val="00E260AD"/>
    <w:rsid w:val="00ED1B43"/>
    <w:rsid w:val="00ED3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F1936-BD66-4D91-A497-ACDC203A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60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C46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4608"/>
    <w:rPr>
      <w:sz w:val="20"/>
      <w:szCs w:val="20"/>
    </w:rPr>
  </w:style>
  <w:style w:type="paragraph" w:styleId="Listenabsatz">
    <w:name w:val="List Paragraph"/>
    <w:basedOn w:val="Standard"/>
    <w:uiPriority w:val="34"/>
    <w:qFormat/>
    <w:rsid w:val="009C4608"/>
    <w:pPr>
      <w:spacing w:after="0" w:line="240" w:lineRule="auto"/>
      <w:ind w:left="708"/>
      <w:jc w:val="both"/>
    </w:pPr>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9C4608"/>
    <w:rPr>
      <w:vertAlign w:val="superscript"/>
    </w:rPr>
  </w:style>
  <w:style w:type="paragraph" w:styleId="Sprechblasentext">
    <w:name w:val="Balloon Text"/>
    <w:basedOn w:val="Standard"/>
    <w:link w:val="SprechblasentextZchn"/>
    <w:uiPriority w:val="99"/>
    <w:semiHidden/>
    <w:unhideWhenUsed/>
    <w:rsid w:val="002567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6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grethlein</dc:creator>
  <cp:keywords/>
  <dc:description/>
  <cp:lastModifiedBy>grethlein</cp:lastModifiedBy>
  <cp:revision>3</cp:revision>
  <cp:lastPrinted>2016-01-04T17:57:00Z</cp:lastPrinted>
  <dcterms:created xsi:type="dcterms:W3CDTF">2016-01-04T17:21:00Z</dcterms:created>
  <dcterms:modified xsi:type="dcterms:W3CDTF">2016-01-04T20:30:00Z</dcterms:modified>
</cp:coreProperties>
</file>